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华南农业大学本科教学听课评价表（理论课）</w:t>
      </w:r>
    </w:p>
    <w:p>
      <w:pPr>
        <w:ind w:left="-1" w:leftChars="-135" w:hanging="282" w:hangingChars="117"/>
        <w:jc w:val="left"/>
        <w:rPr>
          <w:rFonts w:ascii="仿宋" w:hAnsi="仿宋" w:eastAsia="仿宋"/>
          <w:b/>
          <w:bCs/>
          <w:iCs/>
          <w:sz w:val="24"/>
        </w:rPr>
      </w:pPr>
    </w:p>
    <w:p>
      <w:pPr>
        <w:ind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iCs/>
          <w:sz w:val="24"/>
        </w:rPr>
        <w:t xml:space="preserve">开课学院：             </w:t>
      </w:r>
      <w:r>
        <w:rPr>
          <w:rFonts w:ascii="仿宋" w:hAnsi="仿宋" w:eastAsia="仿宋"/>
          <w:b/>
          <w:bCs/>
          <w:iCs/>
          <w:sz w:val="24"/>
        </w:rPr>
        <w:t xml:space="preserve">  </w:t>
      </w:r>
      <w:r>
        <w:rPr>
          <w:rFonts w:hint="eastAsia" w:ascii="仿宋" w:hAnsi="仿宋" w:eastAsia="仿宋"/>
          <w:b/>
          <w:bCs/>
          <w:iCs/>
          <w:sz w:val="24"/>
        </w:rPr>
        <w:t xml:space="preserve">   </w:t>
      </w:r>
      <w:r>
        <w:rPr>
          <w:rFonts w:ascii="仿宋" w:hAnsi="仿宋" w:eastAsia="仿宋"/>
          <w:b/>
          <w:bCs/>
          <w:iCs/>
          <w:sz w:val="24"/>
        </w:rPr>
        <w:t xml:space="preserve">  </w:t>
      </w:r>
      <w:r>
        <w:rPr>
          <w:rFonts w:hint="eastAsia" w:ascii="仿宋" w:hAnsi="仿宋" w:eastAsia="仿宋"/>
          <w:b/>
          <w:bCs/>
          <w:iCs/>
          <w:sz w:val="24"/>
        </w:rPr>
        <w:t xml:space="preserve">    </w:t>
      </w:r>
      <w:r>
        <w:rPr>
          <w:rFonts w:ascii="仿宋" w:hAnsi="仿宋" w:eastAsia="仿宋"/>
          <w:b/>
          <w:bCs/>
          <w:iCs/>
          <w:sz w:val="24"/>
        </w:rPr>
        <w:t xml:space="preserve">  </w:t>
      </w:r>
      <w:r>
        <w:rPr>
          <w:rFonts w:hint="eastAsia" w:ascii="仿宋" w:hAnsi="仿宋" w:eastAsia="仿宋" w:cs="Times New Roman"/>
          <w:b/>
          <w:bCs/>
          <w:iCs/>
          <w:sz w:val="24"/>
        </w:rPr>
        <w:t>课程名称</w:t>
      </w:r>
      <w:r>
        <w:rPr>
          <w:rFonts w:hint="eastAsia" w:ascii="仿宋" w:hAnsi="仿宋" w:eastAsia="仿宋" w:cs="Times New Roman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531"/>
        <w:gridCol w:w="953"/>
        <w:gridCol w:w="404"/>
        <w:gridCol w:w="804"/>
        <w:gridCol w:w="1716"/>
        <w:gridCol w:w="1320"/>
        <w:gridCol w:w="1632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上课时间</w:t>
            </w:r>
          </w:p>
        </w:tc>
        <w:tc>
          <w:tcPr>
            <w:tcW w:w="38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　月　日（星期　） 　节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地点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讲授内容</w:t>
            </w:r>
          </w:p>
        </w:tc>
        <w:tc>
          <w:tcPr>
            <w:tcW w:w="38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任课教师</w:t>
            </w:r>
          </w:p>
        </w:tc>
        <w:tc>
          <w:tcPr>
            <w:tcW w:w="77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听课人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职务/职称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43" w:type="dxa"/>
            <w:gridSpan w:val="8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评价指标</w:t>
            </w:r>
          </w:p>
        </w:tc>
        <w:tc>
          <w:tcPr>
            <w:tcW w:w="9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教学态度</w:t>
            </w:r>
            <w:r>
              <w:rPr>
                <w:rFonts w:hint="eastAsia" w:ascii="仿宋" w:hAnsi="仿宋" w:eastAsia="仿宋"/>
                <w:sz w:val="24"/>
              </w:rPr>
              <w:t>20分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备课认真、充分，</w:t>
            </w:r>
            <w:r>
              <w:rPr>
                <w:rFonts w:hint="eastAsia" w:ascii="仿宋" w:hAnsi="仿宋" w:eastAsia="仿宋"/>
                <w:sz w:val="24"/>
              </w:rPr>
              <w:t>课堂管理严格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教态仪表得体，精神饱满。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教学内容</w:t>
            </w:r>
            <w:r>
              <w:rPr>
                <w:rFonts w:hint="eastAsia" w:ascii="仿宋" w:hAnsi="仿宋" w:eastAsia="仿宋"/>
                <w:sz w:val="24"/>
              </w:rPr>
              <w:t>30分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符合教学大纲要求，深度和广度适当，教学目的明确。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讲授内容准确、清楚，适当补充学科前沿知识或课程最新动态。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重点突出，条理清晰，内容承前启后，循序渐进；注重理论联系实际。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教学组织</w:t>
            </w:r>
            <w:r>
              <w:rPr>
                <w:rFonts w:hint="eastAsia" w:ascii="仿宋" w:hAnsi="仿宋" w:eastAsia="仿宋"/>
                <w:sz w:val="24"/>
              </w:rPr>
              <w:t>30分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教学过程安排合理，方法运用灵活、恰当。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注重启发引导，加强师生互动，能有效调动学生思考和学习积极性；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熟练、恰当地运用现代教学手段；恰当运用板书。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语言清晰、准确、生动；肢体语言运用合理、恰当。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68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教学效果</w:t>
            </w:r>
            <w:r>
              <w:rPr>
                <w:rFonts w:hint="eastAsia" w:ascii="仿宋" w:hAnsi="仿宋" w:eastAsia="仿宋"/>
                <w:sz w:val="24"/>
              </w:rPr>
              <w:t>20分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1" w:leftChars="-51" w:hanging="108" w:hangingChars="45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教学感染力强，学生积极参与教学过程，课堂气氛融洽。</w:t>
            </w:r>
          </w:p>
        </w:tc>
        <w:tc>
          <w:tcPr>
            <w:tcW w:w="9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043" w:type="dxa"/>
            <w:gridSpan w:val="8"/>
            <w:vAlign w:val="center"/>
          </w:tcPr>
          <w:p>
            <w:pPr>
              <w:ind w:left="1" w:leftChars="-51" w:hanging="108" w:hangingChars="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9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50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是否按时到位</w:t>
            </w:r>
            <w:r>
              <w:rPr>
                <w:rFonts w:hint="eastAsia" w:ascii="仿宋" w:hAnsi="仿宋" w:eastAsia="仿宋" w:cs="Times New Roman"/>
                <w:sz w:val="24"/>
              </w:rPr>
              <w:t>，</w:t>
            </w:r>
            <w:r>
              <w:rPr>
                <w:rFonts w:ascii="仿宋" w:hAnsi="仿宋" w:eastAsia="仿宋" w:cs="Times New Roman"/>
                <w:sz w:val="24"/>
              </w:rPr>
              <w:t>做好课前准备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50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是否遵守课堂教学政治纪律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2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优点和经验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216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存在问题和建议 </w:t>
            </w:r>
          </w:p>
        </w:tc>
        <w:tc>
          <w:tcPr>
            <w:tcW w:w="67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仿宋" w:hAnsi="仿宋" w:eastAsia="仿宋" w:cs="Times New Roman"/>
          <w:bCs/>
          <w:iCs/>
          <w:szCs w:val="21"/>
        </w:rPr>
        <w:t>听课后请及时与被听课教师沟通</w:t>
      </w:r>
      <w:r>
        <w:rPr>
          <w:rFonts w:hint="eastAsia" w:ascii="仿宋" w:hAnsi="仿宋" w:eastAsia="仿宋" w:cs="Times New Roman"/>
          <w:szCs w:val="21"/>
        </w:rPr>
        <w:t>。</w:t>
      </w:r>
    </w:p>
    <w:p>
      <w:pPr>
        <w:spacing w:line="4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华南农业大学本科教学听课评价表（实验课）</w:t>
      </w:r>
    </w:p>
    <w:p>
      <w:pPr>
        <w:ind w:left="-1" w:leftChars="-135" w:hanging="282" w:hangingChars="117"/>
        <w:jc w:val="left"/>
        <w:rPr>
          <w:rFonts w:ascii="仿宋" w:hAnsi="仿宋" w:eastAsia="仿宋"/>
          <w:b/>
          <w:bCs/>
          <w:iCs/>
          <w:sz w:val="24"/>
        </w:rPr>
      </w:pPr>
    </w:p>
    <w:p>
      <w:pPr>
        <w:ind w:left="-73" w:leftChars="-35"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iCs/>
          <w:sz w:val="24"/>
        </w:rPr>
        <w:t xml:space="preserve">开课学院：                     </w:t>
      </w:r>
      <w:r>
        <w:rPr>
          <w:rFonts w:ascii="仿宋" w:hAnsi="仿宋" w:eastAsia="仿宋"/>
          <w:b/>
          <w:bCs/>
          <w:iCs/>
          <w:sz w:val="24"/>
        </w:rPr>
        <w:t xml:space="preserve">      </w:t>
      </w:r>
      <w:r>
        <w:rPr>
          <w:rFonts w:hint="eastAsia" w:ascii="仿宋" w:hAnsi="仿宋" w:eastAsia="仿宋"/>
          <w:b/>
          <w:bCs/>
          <w:iCs/>
          <w:sz w:val="24"/>
        </w:rPr>
        <w:t xml:space="preserve">  </w:t>
      </w:r>
      <w:r>
        <w:rPr>
          <w:rFonts w:hint="eastAsia" w:ascii="仿宋" w:hAnsi="仿宋" w:eastAsia="仿宋" w:cs="Times New Roman"/>
          <w:b/>
          <w:bCs/>
          <w:iCs/>
          <w:sz w:val="24"/>
        </w:rPr>
        <w:t>课程名称</w:t>
      </w:r>
      <w:r>
        <w:rPr>
          <w:rFonts w:hint="eastAsia" w:ascii="仿宋" w:hAnsi="仿宋" w:eastAsia="仿宋" w:cs="Times New Roman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37"/>
        <w:gridCol w:w="1095"/>
        <w:gridCol w:w="474"/>
        <w:gridCol w:w="1092"/>
        <w:gridCol w:w="448"/>
        <w:gridCol w:w="920"/>
        <w:gridCol w:w="53"/>
        <w:gridCol w:w="1327"/>
        <w:gridCol w:w="105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上课时间</w:t>
            </w:r>
          </w:p>
        </w:tc>
        <w:tc>
          <w:tcPr>
            <w:tcW w:w="40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年　月　日（星期　） 　节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地点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讲授内容</w:t>
            </w:r>
          </w:p>
        </w:tc>
        <w:tc>
          <w:tcPr>
            <w:tcW w:w="40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听课人</w:t>
            </w:r>
          </w:p>
        </w:tc>
        <w:tc>
          <w:tcPr>
            <w:tcW w:w="15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</w:t>
            </w:r>
          </w:p>
        </w:tc>
        <w:tc>
          <w:tcPr>
            <w:tcW w:w="14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1440" w:firstLineChars="60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职务/职称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49" w:type="dxa"/>
            <w:gridSpan w:val="1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态度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7" w:leftChars="-51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1" w:leftChars="-51" w:hanging="108" w:hangingChars="45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备课认真、充分，课堂管理严格。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教态仪表得体，精神饱满。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实验材料准备充分；讲解内容充实扼要，时间安排恰当。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实验内容安排科学、严谨，目的明确。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示范操作规范，技术熟练。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技能与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重视安全教育，基本操作步骤要求明确。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认真指导，遇到问题及时解决。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结合实验内容，培养</w:t>
            </w:r>
            <w:r>
              <w:rPr>
                <w:rFonts w:hint="eastAsia" w:ascii="仿宋" w:hAnsi="仿宋" w:eastAsia="仿宋"/>
                <w:sz w:val="24"/>
              </w:rPr>
              <w:t>学生创新实践能力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45" w:type="dxa"/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效果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7" w:leftChars="-51" w:firstLine="1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学生积极参与实验，操作认真，实验效果好。</w:t>
            </w:r>
          </w:p>
        </w:tc>
        <w:tc>
          <w:tcPr>
            <w:tcW w:w="12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64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2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是否按时到位</w:t>
            </w:r>
            <w:r>
              <w:rPr>
                <w:rFonts w:hint="eastAsia" w:ascii="仿宋" w:hAnsi="仿宋" w:eastAsia="仿宋" w:cs="Times New Roman"/>
                <w:sz w:val="24"/>
              </w:rPr>
              <w:t>，</w:t>
            </w:r>
            <w:r>
              <w:rPr>
                <w:rFonts w:ascii="仿宋" w:hAnsi="仿宋" w:eastAsia="仿宋" w:cs="Times New Roman"/>
                <w:sz w:val="24"/>
              </w:rPr>
              <w:t>做好课前准备</w:t>
            </w:r>
          </w:p>
        </w:tc>
        <w:tc>
          <w:tcPr>
            <w:tcW w:w="4655" w:type="dxa"/>
            <w:gridSpan w:val="5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42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是否遵守课堂教学政治纪律</w:t>
            </w:r>
          </w:p>
        </w:tc>
        <w:tc>
          <w:tcPr>
            <w:tcW w:w="4655" w:type="dxa"/>
            <w:gridSpan w:val="5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优点和经验</w:t>
            </w:r>
          </w:p>
        </w:tc>
        <w:tc>
          <w:tcPr>
            <w:tcW w:w="666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227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存在问题和建议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仿宋" w:hAnsi="仿宋" w:eastAsia="仿宋" w:cs="Times New Roman"/>
          <w:bCs/>
          <w:iCs/>
          <w:szCs w:val="21"/>
        </w:rPr>
        <w:t>听课后请及时与被听课教师沟通</w:t>
      </w:r>
      <w:r>
        <w:rPr>
          <w:rFonts w:hint="eastAsia" w:ascii="仿宋" w:hAnsi="仿宋" w:eastAsia="仿宋" w:cs="Times New Roman"/>
          <w:szCs w:val="21"/>
        </w:rPr>
        <w:t>。</w:t>
      </w:r>
    </w:p>
    <w:p>
      <w:pPr>
        <w:spacing w:line="420" w:lineRule="exact"/>
        <w:ind w:firstLine="1606" w:firstLineChars="500"/>
        <w:rPr>
          <w:rFonts w:ascii="仿宋" w:hAnsi="仿宋" w:eastAsia="仿宋"/>
          <w:b/>
          <w:bCs/>
          <w:iCs/>
          <w:sz w:val="24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华南农业大学本科教学听课评价表（实习课）</w:t>
      </w:r>
    </w:p>
    <w:p>
      <w:pPr>
        <w:ind w:left="-73" w:leftChars="-35" w:firstLine="723" w:firstLineChars="300"/>
        <w:jc w:val="left"/>
        <w:rPr>
          <w:rFonts w:ascii="仿宋" w:hAnsi="仿宋" w:eastAsia="仿宋"/>
          <w:b/>
          <w:bCs/>
          <w:iCs/>
          <w:sz w:val="24"/>
        </w:rPr>
      </w:pPr>
    </w:p>
    <w:p>
      <w:pPr>
        <w:ind w:left="-73" w:leftChars="-35"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iCs/>
          <w:sz w:val="24"/>
        </w:rPr>
        <w:t xml:space="preserve">开课学院：                    </w:t>
      </w:r>
      <w:r>
        <w:rPr>
          <w:rFonts w:ascii="仿宋" w:hAnsi="仿宋" w:eastAsia="仿宋"/>
          <w:b/>
          <w:bCs/>
          <w:iCs/>
          <w:sz w:val="24"/>
        </w:rPr>
        <w:t xml:space="preserve">       </w:t>
      </w:r>
      <w:r>
        <w:rPr>
          <w:rFonts w:hint="eastAsia" w:ascii="仿宋" w:hAnsi="仿宋" w:eastAsia="仿宋"/>
          <w:b/>
          <w:bCs/>
          <w:iCs/>
          <w:sz w:val="24"/>
        </w:rPr>
        <w:t xml:space="preserve">   </w:t>
      </w:r>
      <w:r>
        <w:rPr>
          <w:rFonts w:hint="eastAsia" w:ascii="仿宋" w:hAnsi="仿宋" w:eastAsia="仿宋" w:cs="Times New Roman"/>
          <w:b/>
          <w:bCs/>
          <w:iCs/>
          <w:sz w:val="24"/>
        </w:rPr>
        <w:t>课程名称</w:t>
      </w:r>
      <w:r>
        <w:rPr>
          <w:rFonts w:hint="eastAsia" w:ascii="仿宋" w:hAnsi="仿宋" w:eastAsia="仿宋" w:cs="Times New Roman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08"/>
        <w:gridCol w:w="1095"/>
        <w:gridCol w:w="390"/>
        <w:gridCol w:w="1212"/>
        <w:gridCol w:w="643"/>
        <w:gridCol w:w="665"/>
        <w:gridCol w:w="1380"/>
        <w:gridCol w:w="108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上课时间</w:t>
            </w:r>
          </w:p>
        </w:tc>
        <w:tc>
          <w:tcPr>
            <w:tcW w:w="40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年　月　日（星期　） 　节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地点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讲授内容</w:t>
            </w:r>
          </w:p>
        </w:tc>
        <w:tc>
          <w:tcPr>
            <w:tcW w:w="40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听课人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</w:t>
            </w:r>
          </w:p>
        </w:tc>
        <w:tc>
          <w:tcPr>
            <w:tcW w:w="13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职务/职称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49" w:type="dxa"/>
            <w:gridSpan w:val="9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>
            <w:pPr>
              <w:ind w:right="-105" w:rightChars="-50" w:firstLine="241" w:firstLineChars="100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态度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1" w:leftChars="-51" w:hanging="108" w:hangingChars="4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坚持立德树人，有效挖掘课程思政元素，将思想教育和价值引领</w:t>
            </w:r>
          </w:p>
          <w:p>
            <w:pPr>
              <w:ind w:left="1" w:leftChars="-51" w:hanging="108" w:hangingChars="4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贯穿于教学过程中。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1" w:leftChars="-51" w:hanging="108" w:hangingChars="4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指导耐心，严格要求学生。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准备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实习场地设备配套完善齐全，保证学生实习操作。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有充足的实习必需品和明确的实习要求。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有必要的实习安全教育；实习组织严密，纪律良好。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实习目标明确，实习内容适量。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实习过程严谨、有序，理论与实际紧密结合。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方法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全面掌控实习全程，专业技能操作规范、熟练。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实习要求明确具体，指导实习方法得当。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能结合理论知识，培养学生创新实践能力。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  <w:jc w:val="center"/>
        </w:trPr>
        <w:tc>
          <w:tcPr>
            <w:tcW w:w="874" w:type="dxa"/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效果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20分</w:t>
            </w:r>
          </w:p>
        </w:tc>
        <w:tc>
          <w:tcPr>
            <w:tcW w:w="6775" w:type="dxa"/>
            <w:gridSpan w:val="8"/>
          </w:tcPr>
          <w:p>
            <w:pPr>
              <w:spacing w:before="240"/>
              <w:ind w:left="1" w:leftChars="-51" w:hanging="108" w:hangingChars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学生实习热情高，积极参与实践。</w:t>
            </w:r>
          </w:p>
        </w:tc>
        <w:tc>
          <w:tcPr>
            <w:tcW w:w="12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6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4522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是否按时到位</w:t>
            </w:r>
            <w:r>
              <w:rPr>
                <w:rFonts w:hint="eastAsia" w:ascii="仿宋" w:hAnsi="仿宋" w:eastAsia="仿宋" w:cs="Times New Roman"/>
                <w:sz w:val="24"/>
              </w:rPr>
              <w:t>，</w:t>
            </w:r>
            <w:r>
              <w:rPr>
                <w:rFonts w:ascii="仿宋" w:hAnsi="仿宋" w:eastAsia="仿宋" w:cs="Times New Roman"/>
                <w:sz w:val="24"/>
              </w:rPr>
              <w:t>做好课前准备</w:t>
            </w:r>
          </w:p>
        </w:tc>
        <w:tc>
          <w:tcPr>
            <w:tcW w:w="4424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522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是否遵守课堂教学政治纪律</w:t>
            </w:r>
          </w:p>
        </w:tc>
        <w:tc>
          <w:tcPr>
            <w:tcW w:w="4424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227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存在问题和建议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仿宋" w:hAnsi="仿宋" w:eastAsia="仿宋" w:cs="Times New Roman"/>
          <w:bCs/>
          <w:iCs/>
          <w:szCs w:val="21"/>
        </w:rPr>
        <w:t>听课后请及时与被听课教师沟通</w:t>
      </w:r>
      <w:r>
        <w:rPr>
          <w:rFonts w:hint="eastAsia" w:ascii="仿宋" w:hAnsi="仿宋" w:eastAsia="仿宋" w:cs="Times New Roman"/>
          <w:szCs w:val="21"/>
        </w:rPr>
        <w:t>。</w:t>
      </w:r>
    </w:p>
    <w:p>
      <w:pPr>
        <w:spacing w:line="42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华南农业大学本科教学听课评价表（体育课）</w:t>
      </w:r>
    </w:p>
    <w:p>
      <w:pPr>
        <w:ind w:left="-1" w:leftChars="-135" w:hanging="282" w:hangingChars="117"/>
        <w:jc w:val="left"/>
        <w:rPr>
          <w:rFonts w:ascii="仿宋" w:hAnsi="仿宋" w:eastAsia="仿宋"/>
          <w:b/>
          <w:bCs/>
          <w:iCs/>
          <w:sz w:val="24"/>
        </w:rPr>
      </w:pPr>
    </w:p>
    <w:p>
      <w:pPr>
        <w:ind w:left="-73" w:leftChars="-35" w:firstLine="482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iCs/>
          <w:sz w:val="24"/>
        </w:rPr>
        <w:t xml:space="preserve">开课学院：                      </w:t>
      </w:r>
      <w:r>
        <w:rPr>
          <w:rFonts w:ascii="仿宋" w:hAnsi="仿宋" w:eastAsia="仿宋"/>
          <w:b/>
          <w:bCs/>
          <w:iCs/>
          <w:sz w:val="24"/>
        </w:rPr>
        <w:t xml:space="preserve">       </w:t>
      </w:r>
      <w:r>
        <w:rPr>
          <w:rFonts w:hint="eastAsia" w:ascii="仿宋" w:hAnsi="仿宋" w:eastAsia="仿宋"/>
          <w:b/>
          <w:bCs/>
          <w:iCs/>
          <w:sz w:val="24"/>
        </w:rPr>
        <w:t xml:space="preserve"> </w:t>
      </w:r>
      <w:r>
        <w:rPr>
          <w:rFonts w:hint="eastAsia" w:ascii="仿宋" w:hAnsi="仿宋" w:eastAsia="仿宋" w:cs="Times New Roman"/>
          <w:b/>
          <w:bCs/>
          <w:iCs/>
          <w:sz w:val="24"/>
        </w:rPr>
        <w:t>课程名称</w:t>
      </w:r>
      <w:r>
        <w:rPr>
          <w:rFonts w:hint="eastAsia" w:ascii="仿宋" w:hAnsi="仿宋" w:eastAsia="仿宋" w:cs="Times New Roman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8"/>
        <w:gridCol w:w="1095"/>
        <w:gridCol w:w="566"/>
        <w:gridCol w:w="976"/>
        <w:gridCol w:w="429"/>
        <w:gridCol w:w="1011"/>
        <w:gridCol w:w="1464"/>
        <w:gridCol w:w="78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上课时间</w:t>
            </w:r>
          </w:p>
        </w:tc>
        <w:tc>
          <w:tcPr>
            <w:tcW w:w="40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年　月　日（星期　） 　节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地点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讲授内容</w:t>
            </w:r>
          </w:p>
        </w:tc>
        <w:tc>
          <w:tcPr>
            <w:tcW w:w="40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bCs/>
                <w:i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iCs/>
                <w:sz w:val="24"/>
              </w:rPr>
              <w:t>听课人</w:t>
            </w:r>
          </w:p>
        </w:tc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职务/职称</w:t>
            </w:r>
            <w:bookmarkStart w:id="0" w:name="_GoBack"/>
            <w:bookmarkEnd w:id="0"/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8" w:type="dxa"/>
            <w:gridSpan w:val="9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评价指标</w:t>
            </w:r>
          </w:p>
        </w:tc>
        <w:tc>
          <w:tcPr>
            <w:tcW w:w="14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教学态度</w:t>
            </w:r>
            <w:r>
              <w:rPr>
                <w:rFonts w:hint="eastAsia" w:ascii="仿宋" w:hAnsi="仿宋" w:eastAsia="仿宋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备课认真、充分，课堂管理严格。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教态仪表得体，精神饱满。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教学内容</w:t>
            </w:r>
            <w:r>
              <w:rPr>
                <w:rFonts w:hint="eastAsia" w:ascii="仿宋" w:hAnsi="仿宋" w:eastAsia="仿宋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教学目标明确，内容充实，准备活动充分。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重点突出，条理清晰，注重理论联系实际。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技术要领讲解清楚明了，动作示范准确。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教学组织</w:t>
            </w:r>
            <w:r>
              <w:rPr>
                <w:rFonts w:hint="eastAsia" w:ascii="仿宋" w:hAnsi="仿宋" w:eastAsia="仿宋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教学过程安排合理，方法运用灵活、恰当。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注重启发引导，加强师生互动，能有效调动学生学习积极性。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活动形式得当，运动负荷适宜。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教学效果</w:t>
            </w:r>
            <w:r>
              <w:rPr>
                <w:rFonts w:hint="eastAsia" w:ascii="仿宋" w:hAnsi="仿宋" w:eastAsia="仿宋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1" w:leftChars="-51" w:hanging="108" w:hangingChars="45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教学感染力强，学生积极参与教学活动。</w:t>
            </w:r>
          </w:p>
        </w:tc>
        <w:tc>
          <w:tcPr>
            <w:tcW w:w="14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50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仿宋" w:hAnsi="仿宋" w:eastAsia="仿宋" w:cs="Times New Roman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4248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是否按时到位</w:t>
            </w:r>
            <w:r>
              <w:rPr>
                <w:rFonts w:hint="eastAsia" w:ascii="仿宋" w:hAnsi="仿宋" w:eastAsia="仿宋" w:cs="Times New Roman"/>
                <w:sz w:val="24"/>
              </w:rPr>
              <w:t>，</w:t>
            </w:r>
            <w:r>
              <w:rPr>
                <w:rFonts w:ascii="仿宋" w:hAnsi="仿宋" w:eastAsia="仿宋" w:cs="Times New Roman"/>
                <w:sz w:val="24"/>
              </w:rPr>
              <w:t>做好课前准备</w:t>
            </w:r>
          </w:p>
        </w:tc>
        <w:tc>
          <w:tcPr>
            <w:tcW w:w="4698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48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是否遵守课堂教学政治纪律</w:t>
            </w:r>
          </w:p>
        </w:tc>
        <w:tc>
          <w:tcPr>
            <w:tcW w:w="4698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（ ）否（ ）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填否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227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 xml:space="preserve">存在问题和建议 </w:t>
            </w:r>
          </w:p>
          <w:p>
            <w:pPr>
              <w:spacing w:line="320" w:lineRule="exac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hint="eastAsia"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仿宋" w:hAnsi="仿宋" w:eastAsia="仿宋" w:cs="Times New Roman"/>
          <w:bCs/>
          <w:iCs/>
          <w:szCs w:val="21"/>
        </w:rPr>
        <w:t>听课后请及时与被听课教师沟通</w:t>
      </w:r>
      <w:r>
        <w:rPr>
          <w:rFonts w:hint="eastAsia" w:ascii="仿宋" w:hAnsi="仿宋" w:eastAsia="仿宋" w:cs="Times New Roman"/>
          <w:szCs w:val="21"/>
        </w:rPr>
        <w:t>。</w:t>
      </w:r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CC4"/>
    <w:rsid w:val="000129E7"/>
    <w:rsid w:val="00034BE8"/>
    <w:rsid w:val="00045D21"/>
    <w:rsid w:val="000643B8"/>
    <w:rsid w:val="00074DEB"/>
    <w:rsid w:val="000834EF"/>
    <w:rsid w:val="000976E3"/>
    <w:rsid w:val="000B1C31"/>
    <w:rsid w:val="000B2EC1"/>
    <w:rsid w:val="000C2CD0"/>
    <w:rsid w:val="000C6965"/>
    <w:rsid w:val="000F7BF2"/>
    <w:rsid w:val="00106986"/>
    <w:rsid w:val="00122BB0"/>
    <w:rsid w:val="001525D3"/>
    <w:rsid w:val="00154267"/>
    <w:rsid w:val="001604F5"/>
    <w:rsid w:val="00162DF7"/>
    <w:rsid w:val="00166CFB"/>
    <w:rsid w:val="00175FD2"/>
    <w:rsid w:val="00193EC2"/>
    <w:rsid w:val="001968AB"/>
    <w:rsid w:val="001B0647"/>
    <w:rsid w:val="001B240F"/>
    <w:rsid w:val="001B72AE"/>
    <w:rsid w:val="001C567B"/>
    <w:rsid w:val="001C675F"/>
    <w:rsid w:val="001F2E39"/>
    <w:rsid w:val="0022006E"/>
    <w:rsid w:val="002520B7"/>
    <w:rsid w:val="00253883"/>
    <w:rsid w:val="00256C55"/>
    <w:rsid w:val="002640A0"/>
    <w:rsid w:val="002756F5"/>
    <w:rsid w:val="00284119"/>
    <w:rsid w:val="00291B0D"/>
    <w:rsid w:val="002B0DB1"/>
    <w:rsid w:val="002C033C"/>
    <w:rsid w:val="002C51AD"/>
    <w:rsid w:val="002D36F3"/>
    <w:rsid w:val="002D53D0"/>
    <w:rsid w:val="002E1D43"/>
    <w:rsid w:val="002F433D"/>
    <w:rsid w:val="00312538"/>
    <w:rsid w:val="003363F2"/>
    <w:rsid w:val="00380229"/>
    <w:rsid w:val="00387F9B"/>
    <w:rsid w:val="003926FF"/>
    <w:rsid w:val="003C1199"/>
    <w:rsid w:val="003E2758"/>
    <w:rsid w:val="003E7A02"/>
    <w:rsid w:val="003F62C4"/>
    <w:rsid w:val="003F68CB"/>
    <w:rsid w:val="00407B3F"/>
    <w:rsid w:val="00433A74"/>
    <w:rsid w:val="00445E33"/>
    <w:rsid w:val="00451550"/>
    <w:rsid w:val="00451717"/>
    <w:rsid w:val="00456B8D"/>
    <w:rsid w:val="00462110"/>
    <w:rsid w:val="00476140"/>
    <w:rsid w:val="00477007"/>
    <w:rsid w:val="00480D08"/>
    <w:rsid w:val="004A1A6F"/>
    <w:rsid w:val="004C101B"/>
    <w:rsid w:val="004E212E"/>
    <w:rsid w:val="004F0927"/>
    <w:rsid w:val="004F36BB"/>
    <w:rsid w:val="005001FB"/>
    <w:rsid w:val="0051199E"/>
    <w:rsid w:val="00521853"/>
    <w:rsid w:val="00545AE2"/>
    <w:rsid w:val="00550C60"/>
    <w:rsid w:val="00570A71"/>
    <w:rsid w:val="00575416"/>
    <w:rsid w:val="005755D0"/>
    <w:rsid w:val="005864FF"/>
    <w:rsid w:val="00590C36"/>
    <w:rsid w:val="005A5046"/>
    <w:rsid w:val="005B0693"/>
    <w:rsid w:val="005C07DF"/>
    <w:rsid w:val="005C5B11"/>
    <w:rsid w:val="005D15A3"/>
    <w:rsid w:val="005E7414"/>
    <w:rsid w:val="005F7F48"/>
    <w:rsid w:val="006218F5"/>
    <w:rsid w:val="006328DC"/>
    <w:rsid w:val="00644D3E"/>
    <w:rsid w:val="00646AB5"/>
    <w:rsid w:val="00691B79"/>
    <w:rsid w:val="006F6AA4"/>
    <w:rsid w:val="006F78C9"/>
    <w:rsid w:val="007072F2"/>
    <w:rsid w:val="007436BC"/>
    <w:rsid w:val="00747F7B"/>
    <w:rsid w:val="00752A2D"/>
    <w:rsid w:val="00761F0B"/>
    <w:rsid w:val="00766099"/>
    <w:rsid w:val="00766B2E"/>
    <w:rsid w:val="00771F29"/>
    <w:rsid w:val="00782268"/>
    <w:rsid w:val="00782374"/>
    <w:rsid w:val="007979A7"/>
    <w:rsid w:val="007A1C60"/>
    <w:rsid w:val="007B2B0E"/>
    <w:rsid w:val="007E1D72"/>
    <w:rsid w:val="0083347E"/>
    <w:rsid w:val="008358E9"/>
    <w:rsid w:val="0084121F"/>
    <w:rsid w:val="008502EC"/>
    <w:rsid w:val="00862CA5"/>
    <w:rsid w:val="00872963"/>
    <w:rsid w:val="00882A60"/>
    <w:rsid w:val="00897D3B"/>
    <w:rsid w:val="008A2058"/>
    <w:rsid w:val="008A36E4"/>
    <w:rsid w:val="008D2C74"/>
    <w:rsid w:val="008D78FE"/>
    <w:rsid w:val="008F2CC4"/>
    <w:rsid w:val="0091535B"/>
    <w:rsid w:val="00923245"/>
    <w:rsid w:val="00943D2E"/>
    <w:rsid w:val="00952C89"/>
    <w:rsid w:val="00960425"/>
    <w:rsid w:val="009718CB"/>
    <w:rsid w:val="00982269"/>
    <w:rsid w:val="00983271"/>
    <w:rsid w:val="00984428"/>
    <w:rsid w:val="00984CFA"/>
    <w:rsid w:val="00987B23"/>
    <w:rsid w:val="009907D7"/>
    <w:rsid w:val="00992E28"/>
    <w:rsid w:val="009A05BC"/>
    <w:rsid w:val="009B0B40"/>
    <w:rsid w:val="009B44C4"/>
    <w:rsid w:val="009B4A2E"/>
    <w:rsid w:val="009C2E32"/>
    <w:rsid w:val="009C2EB3"/>
    <w:rsid w:val="009D0C03"/>
    <w:rsid w:val="009E6AA6"/>
    <w:rsid w:val="00A06323"/>
    <w:rsid w:val="00A06D3E"/>
    <w:rsid w:val="00A074AB"/>
    <w:rsid w:val="00A07764"/>
    <w:rsid w:val="00A17E3A"/>
    <w:rsid w:val="00A5686E"/>
    <w:rsid w:val="00A71E81"/>
    <w:rsid w:val="00A8063B"/>
    <w:rsid w:val="00A9163E"/>
    <w:rsid w:val="00A94889"/>
    <w:rsid w:val="00A94D43"/>
    <w:rsid w:val="00AA63CD"/>
    <w:rsid w:val="00AA7DD6"/>
    <w:rsid w:val="00AB43A9"/>
    <w:rsid w:val="00AE0816"/>
    <w:rsid w:val="00AE0D0A"/>
    <w:rsid w:val="00AF5F06"/>
    <w:rsid w:val="00B10DF5"/>
    <w:rsid w:val="00B12CC8"/>
    <w:rsid w:val="00B14836"/>
    <w:rsid w:val="00B1694A"/>
    <w:rsid w:val="00B221D7"/>
    <w:rsid w:val="00B473F2"/>
    <w:rsid w:val="00B519DD"/>
    <w:rsid w:val="00B90E4B"/>
    <w:rsid w:val="00B9208B"/>
    <w:rsid w:val="00BA4BF6"/>
    <w:rsid w:val="00BB06DA"/>
    <w:rsid w:val="00BC2076"/>
    <w:rsid w:val="00BD1CD8"/>
    <w:rsid w:val="00BF44DB"/>
    <w:rsid w:val="00BF4E9D"/>
    <w:rsid w:val="00BF5552"/>
    <w:rsid w:val="00BF7841"/>
    <w:rsid w:val="00C15AE5"/>
    <w:rsid w:val="00C42BBB"/>
    <w:rsid w:val="00C85E50"/>
    <w:rsid w:val="00CA07BA"/>
    <w:rsid w:val="00CB7B1C"/>
    <w:rsid w:val="00CC11CE"/>
    <w:rsid w:val="00CC7701"/>
    <w:rsid w:val="00CE6501"/>
    <w:rsid w:val="00CF69F9"/>
    <w:rsid w:val="00D14CB4"/>
    <w:rsid w:val="00D2707D"/>
    <w:rsid w:val="00D32860"/>
    <w:rsid w:val="00D46E6D"/>
    <w:rsid w:val="00D700DA"/>
    <w:rsid w:val="00D9494E"/>
    <w:rsid w:val="00D94F24"/>
    <w:rsid w:val="00DB5859"/>
    <w:rsid w:val="00DC4793"/>
    <w:rsid w:val="00DE1FBB"/>
    <w:rsid w:val="00DE32E5"/>
    <w:rsid w:val="00DE4853"/>
    <w:rsid w:val="00DF1010"/>
    <w:rsid w:val="00DF1EB8"/>
    <w:rsid w:val="00DF75DE"/>
    <w:rsid w:val="00E005C3"/>
    <w:rsid w:val="00E11CA6"/>
    <w:rsid w:val="00E17135"/>
    <w:rsid w:val="00E26535"/>
    <w:rsid w:val="00E4570D"/>
    <w:rsid w:val="00E8625E"/>
    <w:rsid w:val="00EA6801"/>
    <w:rsid w:val="00EB284B"/>
    <w:rsid w:val="00ED17B9"/>
    <w:rsid w:val="00ED30E6"/>
    <w:rsid w:val="00ED7148"/>
    <w:rsid w:val="00EE1BA6"/>
    <w:rsid w:val="00EF4C0F"/>
    <w:rsid w:val="00F11C72"/>
    <w:rsid w:val="00F17609"/>
    <w:rsid w:val="00F30D26"/>
    <w:rsid w:val="00F35E21"/>
    <w:rsid w:val="00F4356C"/>
    <w:rsid w:val="00F45A8D"/>
    <w:rsid w:val="00F45F31"/>
    <w:rsid w:val="00F46EF2"/>
    <w:rsid w:val="00F50DD7"/>
    <w:rsid w:val="00F515C5"/>
    <w:rsid w:val="00F5320E"/>
    <w:rsid w:val="00F6329B"/>
    <w:rsid w:val="00F81A3F"/>
    <w:rsid w:val="00F83A83"/>
    <w:rsid w:val="00FC0E4C"/>
    <w:rsid w:val="00FC5F4D"/>
    <w:rsid w:val="00FD1036"/>
    <w:rsid w:val="00FD1D3B"/>
    <w:rsid w:val="00FE3C1A"/>
    <w:rsid w:val="00FE3DEC"/>
    <w:rsid w:val="00FE5131"/>
    <w:rsid w:val="01A16F87"/>
    <w:rsid w:val="043A1DB3"/>
    <w:rsid w:val="12032F40"/>
    <w:rsid w:val="176E64F1"/>
    <w:rsid w:val="19C02C63"/>
    <w:rsid w:val="2068439C"/>
    <w:rsid w:val="236A24AF"/>
    <w:rsid w:val="254F5B30"/>
    <w:rsid w:val="26D72BFF"/>
    <w:rsid w:val="27173D45"/>
    <w:rsid w:val="3DEF2A3C"/>
    <w:rsid w:val="3E1157AA"/>
    <w:rsid w:val="43A720C4"/>
    <w:rsid w:val="4D7A7033"/>
    <w:rsid w:val="5724046C"/>
    <w:rsid w:val="623C2E03"/>
    <w:rsid w:val="667D42A8"/>
    <w:rsid w:val="678850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56FBB-DD80-4B8D-B1DD-58E6FD03F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377</Words>
  <Characters>2151</Characters>
  <Lines>17</Lines>
  <Paragraphs>5</Paragraphs>
  <TotalTime>0</TotalTime>
  <ScaleCrop>false</ScaleCrop>
  <LinksUpToDate>false</LinksUpToDate>
  <CharactersWithSpaces>2523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2018-04-10T08:14:00Z</dcterms:created>
  <dc:creator>crh</dc:creator>
  <cp:lastModifiedBy>陈润华</cp:lastModifiedBy>
  <cp:lastPrinted>2019-11-27T07:17:00Z</cp:lastPrinted>
  <dcterms:modified xsi:type="dcterms:W3CDTF">2020-12-24T09:13:58Z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