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000" w:type="dxa"/>
        <w:jc w:val="center"/>
        <w:tblCellMar>
          <w:left w:w="0" w:type="dxa"/>
          <w:right w:w="0" w:type="dxa"/>
        </w:tblCellMar>
        <w:tblLook w:val="04A0" w:firstRow="1" w:lastRow="0" w:firstColumn="1" w:lastColumn="0" w:noHBand="0" w:noVBand="1"/>
      </w:tblPr>
      <w:tblGrid>
        <w:gridCol w:w="18000"/>
      </w:tblGrid>
      <w:tr w:rsidR="008079D8" w:rsidRPr="008079D8" w:rsidTr="008079D8">
        <w:trPr>
          <w:trHeight w:val="930"/>
          <w:jc w:val="center"/>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079D8" w:rsidRPr="008079D8" w:rsidRDefault="008079D8" w:rsidP="008079D8">
            <w:pPr>
              <w:widowControl/>
              <w:spacing w:after="150"/>
              <w:jc w:val="center"/>
              <w:rPr>
                <w:rFonts w:ascii="宋体" w:eastAsia="宋体" w:hAnsi="宋体" w:cs="宋体"/>
                <w:color w:val="333333"/>
                <w:kern w:val="0"/>
                <w:szCs w:val="21"/>
              </w:rPr>
            </w:pPr>
            <w:r w:rsidRPr="008079D8">
              <w:rPr>
                <w:rFonts w:ascii="微软雅黑" w:eastAsia="微软雅黑" w:hAnsi="微软雅黑" w:cs="微软雅黑" w:hint="eastAsia"/>
                <w:color w:val="FF3300"/>
                <w:kern w:val="0"/>
                <w:sz w:val="104"/>
                <w:szCs w:val="104"/>
              </w:rPr>
              <w:t>华南农业大学文件</w:t>
            </w:r>
          </w:p>
        </w:tc>
      </w:tr>
      <w:tr w:rsidR="008079D8" w:rsidRPr="008079D8" w:rsidTr="008079D8">
        <w:trPr>
          <w:trHeight w:val="1230"/>
          <w:jc w:val="center"/>
        </w:trPr>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079D8" w:rsidRPr="008079D8" w:rsidRDefault="008079D8" w:rsidP="008079D8">
            <w:pPr>
              <w:widowControl/>
              <w:jc w:val="center"/>
              <w:rPr>
                <w:rFonts w:ascii="宋体" w:eastAsia="宋体" w:hAnsi="宋体" w:cs="宋体"/>
                <w:color w:val="333333"/>
                <w:kern w:val="0"/>
                <w:szCs w:val="21"/>
              </w:rPr>
            </w:pPr>
          </w:p>
          <w:p w:rsidR="008079D8" w:rsidRPr="008079D8" w:rsidRDefault="008079D8" w:rsidP="008079D8">
            <w:pPr>
              <w:widowControl/>
              <w:spacing w:after="150"/>
              <w:jc w:val="center"/>
              <w:rPr>
                <w:rFonts w:ascii="宋体" w:eastAsia="宋体" w:hAnsi="宋体" w:cs="宋体"/>
                <w:color w:val="333333"/>
                <w:kern w:val="0"/>
                <w:szCs w:val="21"/>
              </w:rPr>
            </w:pPr>
            <w:r w:rsidRPr="008079D8">
              <w:rPr>
                <w:rFonts w:ascii="仿宋" w:eastAsia="仿宋" w:hAnsi="仿宋" w:cs="宋体" w:hint="eastAsia"/>
                <w:color w:val="333333"/>
                <w:kern w:val="0"/>
                <w:sz w:val="32"/>
                <w:szCs w:val="32"/>
              </w:rPr>
              <w:t>华南农办〔</w:t>
            </w:r>
            <w:r w:rsidRPr="008079D8">
              <w:rPr>
                <w:rFonts w:ascii="宋体" w:eastAsia="宋体" w:hAnsi="宋体" w:cs="宋体"/>
                <w:color w:val="333333"/>
                <w:kern w:val="0"/>
                <w:sz w:val="32"/>
                <w:szCs w:val="32"/>
              </w:rPr>
              <w:t>2023</w:t>
            </w:r>
            <w:r w:rsidRPr="008079D8">
              <w:rPr>
                <w:rFonts w:ascii="仿宋" w:eastAsia="仿宋" w:hAnsi="仿宋" w:cs="宋体" w:hint="eastAsia"/>
                <w:color w:val="333333"/>
                <w:kern w:val="0"/>
                <w:sz w:val="32"/>
                <w:szCs w:val="32"/>
              </w:rPr>
              <w:t>〕</w:t>
            </w:r>
            <w:r w:rsidRPr="008079D8">
              <w:rPr>
                <w:rFonts w:ascii="宋体" w:eastAsia="宋体" w:hAnsi="宋体" w:cs="宋体"/>
                <w:color w:val="333333"/>
                <w:kern w:val="0"/>
                <w:sz w:val="32"/>
                <w:szCs w:val="32"/>
              </w:rPr>
              <w:t>1</w:t>
            </w:r>
            <w:r w:rsidRPr="008079D8">
              <w:rPr>
                <w:rFonts w:ascii="仿宋" w:eastAsia="仿宋" w:hAnsi="仿宋" w:cs="宋体" w:hint="eastAsia"/>
                <w:color w:val="333333"/>
                <w:kern w:val="0"/>
                <w:sz w:val="32"/>
                <w:szCs w:val="32"/>
              </w:rPr>
              <w:t>号</w:t>
            </w:r>
          </w:p>
        </w:tc>
      </w:tr>
    </w:tbl>
    <w:p w:rsidR="008079D8" w:rsidRPr="008079D8" w:rsidRDefault="008079D8" w:rsidP="008079D8">
      <w:pPr>
        <w:widowControl/>
        <w:spacing w:line="403" w:lineRule="atLeast"/>
        <w:jc w:val="left"/>
        <w:rPr>
          <w:rFonts w:ascii="微软雅黑" w:eastAsia="微软雅黑" w:hAnsi="微软雅黑" w:cs="宋体"/>
          <w:color w:val="333333"/>
          <w:kern w:val="0"/>
          <w:szCs w:val="21"/>
        </w:rPr>
      </w:pPr>
    </w:p>
    <w:p w:rsidR="008079D8" w:rsidRPr="008079D8" w:rsidRDefault="008079D8" w:rsidP="008079D8">
      <w:pPr>
        <w:widowControl/>
        <w:spacing w:line="720" w:lineRule="atLeast"/>
        <w:jc w:val="center"/>
        <w:rPr>
          <w:rFonts w:ascii="微软雅黑" w:eastAsia="微软雅黑" w:hAnsi="微软雅黑" w:cs="宋体" w:hint="eastAsia"/>
          <w:color w:val="333333"/>
          <w:kern w:val="0"/>
          <w:szCs w:val="21"/>
        </w:rPr>
      </w:pPr>
      <w:r w:rsidRPr="008079D8">
        <w:rPr>
          <w:rFonts w:ascii="微软雅黑" w:eastAsia="微软雅黑" w:hAnsi="微软雅黑" w:cs="微软雅黑" w:hint="eastAsia"/>
          <w:color w:val="333333"/>
          <w:kern w:val="0"/>
          <w:sz w:val="44"/>
          <w:szCs w:val="44"/>
        </w:rPr>
        <w:t>关于印发</w:t>
      </w:r>
      <w:proofErr w:type="gramStart"/>
      <w:r w:rsidRPr="008079D8">
        <w:rPr>
          <w:rFonts w:ascii="Malgun Gothic Semilight" w:eastAsia="Malgun Gothic Semilight" w:hAnsi="Malgun Gothic Semilight" w:cs="Malgun Gothic Semilight" w:hint="eastAsia"/>
          <w:color w:val="333333"/>
          <w:kern w:val="0"/>
          <w:sz w:val="44"/>
          <w:szCs w:val="44"/>
        </w:rPr>
        <w:t>《</w:t>
      </w:r>
      <w:proofErr w:type="gramEnd"/>
      <w:r w:rsidRPr="008079D8">
        <w:rPr>
          <w:rFonts w:ascii="微软雅黑" w:eastAsia="微软雅黑" w:hAnsi="微软雅黑" w:cs="微软雅黑" w:hint="eastAsia"/>
          <w:color w:val="333333"/>
          <w:kern w:val="0"/>
          <w:sz w:val="44"/>
          <w:szCs w:val="44"/>
        </w:rPr>
        <w:t>华南农业大学本科通识教育</w:t>
      </w:r>
    </w:p>
    <w:p w:rsidR="008079D8" w:rsidRPr="008079D8" w:rsidRDefault="008079D8" w:rsidP="008079D8">
      <w:pPr>
        <w:widowControl/>
        <w:spacing w:line="720" w:lineRule="atLeast"/>
        <w:jc w:val="center"/>
        <w:rPr>
          <w:rFonts w:ascii="微软雅黑" w:eastAsia="微软雅黑" w:hAnsi="微软雅黑" w:cs="宋体" w:hint="eastAsia"/>
          <w:color w:val="333333"/>
          <w:kern w:val="0"/>
          <w:szCs w:val="21"/>
        </w:rPr>
      </w:pPr>
      <w:r w:rsidRPr="008079D8">
        <w:rPr>
          <w:rFonts w:ascii="微软雅黑" w:eastAsia="微软雅黑" w:hAnsi="微软雅黑" w:cs="微软雅黑" w:hint="eastAsia"/>
          <w:color w:val="333333"/>
          <w:kern w:val="0"/>
          <w:sz w:val="44"/>
          <w:szCs w:val="44"/>
        </w:rPr>
        <w:t>选修课程管理规定</w:t>
      </w:r>
      <w:proofErr w:type="gramStart"/>
      <w:r w:rsidRPr="008079D8">
        <w:rPr>
          <w:rFonts w:ascii="Malgun Gothic Semilight" w:eastAsia="Malgun Gothic Semilight" w:hAnsi="Malgun Gothic Semilight" w:cs="Malgun Gothic Semilight" w:hint="eastAsia"/>
          <w:color w:val="333333"/>
          <w:kern w:val="0"/>
          <w:sz w:val="44"/>
          <w:szCs w:val="44"/>
        </w:rPr>
        <w:t>》</w:t>
      </w:r>
      <w:proofErr w:type="gramEnd"/>
      <w:r w:rsidRPr="008079D8">
        <w:rPr>
          <w:rFonts w:ascii="微软雅黑" w:eastAsia="微软雅黑" w:hAnsi="微软雅黑" w:cs="微软雅黑" w:hint="eastAsia"/>
          <w:color w:val="333333"/>
          <w:kern w:val="0"/>
          <w:sz w:val="44"/>
          <w:szCs w:val="44"/>
        </w:rPr>
        <w:t>的通知</w:t>
      </w:r>
    </w:p>
    <w:p w:rsidR="008079D8" w:rsidRPr="008079D8" w:rsidRDefault="008079D8" w:rsidP="008079D8">
      <w:pPr>
        <w:widowControl/>
        <w:spacing w:line="562"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562" w:lineRule="atLeast"/>
        <w:jc w:val="left"/>
        <w:rPr>
          <w:rFonts w:ascii="微软雅黑" w:eastAsia="微软雅黑" w:hAnsi="微软雅黑" w:cs="宋体" w:hint="eastAsia"/>
          <w:color w:val="333333"/>
          <w:kern w:val="0"/>
          <w:szCs w:val="21"/>
        </w:rPr>
      </w:pPr>
      <w:r w:rsidRPr="008079D8">
        <w:rPr>
          <w:rFonts w:ascii="仿宋" w:eastAsia="仿宋" w:hAnsi="仿宋" w:cs="宋体" w:hint="eastAsia"/>
          <w:color w:val="333333"/>
          <w:kern w:val="0"/>
          <w:sz w:val="32"/>
          <w:szCs w:val="32"/>
        </w:rPr>
        <w:t>各学院、部处、各单位：</w:t>
      </w:r>
    </w:p>
    <w:p w:rsidR="008079D8" w:rsidRPr="008079D8" w:rsidRDefault="008079D8" w:rsidP="008079D8">
      <w:pPr>
        <w:widowControl/>
        <w:spacing w:line="562" w:lineRule="atLeast"/>
        <w:ind w:firstLine="634"/>
        <w:jc w:val="left"/>
        <w:rPr>
          <w:rFonts w:ascii="微软雅黑" w:eastAsia="微软雅黑" w:hAnsi="微软雅黑" w:cs="宋体" w:hint="eastAsia"/>
          <w:color w:val="333333"/>
          <w:kern w:val="0"/>
          <w:szCs w:val="21"/>
        </w:rPr>
      </w:pPr>
      <w:r w:rsidRPr="008079D8">
        <w:rPr>
          <w:rFonts w:ascii="仿宋" w:eastAsia="仿宋" w:hAnsi="仿宋" w:cs="宋体" w:hint="eastAsia"/>
          <w:color w:val="333333"/>
          <w:kern w:val="0"/>
          <w:sz w:val="32"/>
          <w:szCs w:val="32"/>
        </w:rPr>
        <w:t>《华南农业大学本科通识教育选修课程管理规定》已经学校</w:t>
      </w:r>
      <w:r w:rsidRPr="008079D8">
        <w:rPr>
          <w:rFonts w:ascii="微软雅黑" w:eastAsia="微软雅黑" w:hAnsi="微软雅黑" w:cs="宋体" w:hint="eastAsia"/>
          <w:color w:val="333333"/>
          <w:kern w:val="0"/>
          <w:sz w:val="32"/>
          <w:szCs w:val="32"/>
        </w:rPr>
        <w:t>2023</w:t>
      </w:r>
      <w:r w:rsidRPr="008079D8">
        <w:rPr>
          <w:rFonts w:ascii="仿宋" w:eastAsia="仿宋" w:hAnsi="仿宋" w:cs="宋体" w:hint="eastAsia"/>
          <w:color w:val="333333"/>
          <w:kern w:val="0"/>
          <w:sz w:val="32"/>
          <w:szCs w:val="32"/>
        </w:rPr>
        <w:t>年第</w:t>
      </w:r>
      <w:r w:rsidRPr="008079D8">
        <w:rPr>
          <w:rFonts w:ascii="微软雅黑" w:eastAsia="微软雅黑" w:hAnsi="微软雅黑" w:cs="宋体" w:hint="eastAsia"/>
          <w:color w:val="333333"/>
          <w:kern w:val="0"/>
          <w:sz w:val="32"/>
          <w:szCs w:val="32"/>
        </w:rPr>
        <w:t>1</w:t>
      </w:r>
      <w:r w:rsidRPr="008079D8">
        <w:rPr>
          <w:rFonts w:ascii="仿宋" w:eastAsia="仿宋" w:hAnsi="仿宋" w:cs="宋体" w:hint="eastAsia"/>
          <w:color w:val="333333"/>
          <w:kern w:val="0"/>
          <w:sz w:val="32"/>
          <w:szCs w:val="32"/>
        </w:rPr>
        <w:t>次校长办公会议讨论通过，现予印发，请遵照执行。</w:t>
      </w:r>
    </w:p>
    <w:p w:rsidR="008079D8" w:rsidRPr="008079D8" w:rsidRDefault="008079D8" w:rsidP="008079D8">
      <w:pPr>
        <w:widowControl/>
        <w:spacing w:line="562"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562" w:lineRule="atLeast"/>
        <w:jc w:val="left"/>
        <w:rPr>
          <w:rFonts w:ascii="微软雅黑" w:eastAsia="微软雅黑" w:hAnsi="微软雅黑" w:cs="宋体" w:hint="eastAsia"/>
          <w:color w:val="333333"/>
          <w:kern w:val="0"/>
          <w:szCs w:val="21"/>
        </w:rPr>
      </w:pP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w:t>
      </w:r>
      <w:r>
        <w:rPr>
          <w:rFonts w:ascii="仿宋" w:eastAsia="仿宋" w:hAnsi="仿宋" w:cs="宋体"/>
          <w:color w:val="333333"/>
          <w:kern w:val="0"/>
          <w:sz w:val="32"/>
          <w:szCs w:val="32"/>
        </w:rPr>
        <w:t xml:space="preserve">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 xml:space="preserve"> 华南农业大学</w:t>
      </w:r>
    </w:p>
    <w:p w:rsidR="008079D8" w:rsidRPr="008079D8" w:rsidRDefault="008079D8" w:rsidP="008079D8">
      <w:pPr>
        <w:widowControl/>
        <w:spacing w:line="562" w:lineRule="atLeast"/>
        <w:jc w:val="left"/>
        <w:rPr>
          <w:rFonts w:ascii="微软雅黑" w:eastAsia="微软雅黑" w:hAnsi="微软雅黑" w:cs="宋体" w:hint="eastAsia"/>
          <w:color w:val="333333"/>
          <w:kern w:val="0"/>
          <w:szCs w:val="21"/>
        </w:rPr>
      </w:pPr>
      <w:r w:rsidRPr="008079D8">
        <w:rPr>
          <w:rFonts w:ascii="微软雅黑" w:eastAsia="微软雅黑" w:hAnsi="微软雅黑" w:cs="宋体" w:hint="eastAsia"/>
          <w:color w:val="333333"/>
          <w:kern w:val="0"/>
          <w:sz w:val="32"/>
          <w:szCs w:val="32"/>
        </w:rPr>
        <w:t xml:space="preserve">                                                                                                      </w:t>
      </w:r>
      <w:r>
        <w:rPr>
          <w:rFonts w:ascii="微软雅黑" w:eastAsia="微软雅黑" w:hAnsi="微软雅黑" w:cs="宋体" w:hint="eastAsia"/>
          <w:color w:val="333333"/>
          <w:kern w:val="0"/>
          <w:sz w:val="32"/>
          <w:szCs w:val="32"/>
        </w:rPr>
        <w:t>     </w:t>
      </w:r>
      <w:r w:rsidRPr="008079D8">
        <w:rPr>
          <w:rFonts w:ascii="微软雅黑" w:eastAsia="微软雅黑" w:hAnsi="微软雅黑" w:cs="宋体" w:hint="eastAsia"/>
          <w:color w:val="333333"/>
          <w:kern w:val="0"/>
          <w:sz w:val="32"/>
          <w:szCs w:val="32"/>
        </w:rPr>
        <w:t> 2023</w:t>
      </w:r>
      <w:r w:rsidRPr="008079D8">
        <w:rPr>
          <w:rFonts w:ascii="仿宋" w:eastAsia="仿宋" w:hAnsi="仿宋" w:cs="宋体" w:hint="eastAsia"/>
          <w:color w:val="333333"/>
          <w:kern w:val="0"/>
          <w:sz w:val="32"/>
          <w:szCs w:val="32"/>
        </w:rPr>
        <w:t>年</w:t>
      </w:r>
      <w:r w:rsidRPr="008079D8">
        <w:rPr>
          <w:rFonts w:ascii="微软雅黑" w:eastAsia="微软雅黑" w:hAnsi="微软雅黑" w:cs="宋体" w:hint="eastAsia"/>
          <w:color w:val="333333"/>
          <w:kern w:val="0"/>
          <w:sz w:val="32"/>
          <w:szCs w:val="32"/>
        </w:rPr>
        <w:t>1</w:t>
      </w:r>
      <w:r w:rsidRPr="008079D8">
        <w:rPr>
          <w:rFonts w:ascii="仿宋" w:eastAsia="仿宋" w:hAnsi="仿宋" w:cs="宋体" w:hint="eastAsia"/>
          <w:color w:val="333333"/>
          <w:kern w:val="0"/>
          <w:sz w:val="32"/>
          <w:szCs w:val="32"/>
        </w:rPr>
        <w:t>月</w:t>
      </w:r>
      <w:r w:rsidRPr="008079D8">
        <w:rPr>
          <w:rFonts w:ascii="微软雅黑" w:eastAsia="微软雅黑" w:hAnsi="微软雅黑" w:cs="宋体" w:hint="eastAsia"/>
          <w:color w:val="333333"/>
          <w:kern w:val="0"/>
          <w:sz w:val="32"/>
          <w:szCs w:val="32"/>
        </w:rPr>
        <w:t>6</w:t>
      </w:r>
      <w:r w:rsidRPr="008079D8">
        <w:rPr>
          <w:rFonts w:ascii="仿宋" w:eastAsia="仿宋" w:hAnsi="仿宋" w:cs="宋体" w:hint="eastAsia"/>
          <w:color w:val="333333"/>
          <w:kern w:val="0"/>
          <w:sz w:val="32"/>
          <w:szCs w:val="32"/>
        </w:rPr>
        <w:t>日</w:t>
      </w:r>
    </w:p>
    <w:p w:rsidR="008079D8" w:rsidRPr="008079D8" w:rsidRDefault="008079D8" w:rsidP="008079D8">
      <w:pPr>
        <w:widowControl/>
        <w:spacing w:line="518"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518"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720" w:lineRule="atLeast"/>
        <w:jc w:val="center"/>
        <w:rPr>
          <w:rFonts w:ascii="微软雅黑" w:eastAsia="微软雅黑" w:hAnsi="微软雅黑" w:cs="宋体" w:hint="eastAsia"/>
          <w:color w:val="333333"/>
          <w:kern w:val="0"/>
          <w:sz w:val="36"/>
          <w:szCs w:val="36"/>
        </w:rPr>
      </w:pPr>
      <w:r w:rsidRPr="008079D8">
        <w:rPr>
          <w:rFonts w:ascii="微软雅黑" w:eastAsia="微软雅黑" w:hAnsi="微软雅黑" w:cs="微软雅黑" w:hint="eastAsia"/>
          <w:color w:val="333333"/>
          <w:kern w:val="0"/>
          <w:sz w:val="36"/>
          <w:szCs w:val="36"/>
        </w:rPr>
        <w:lastRenderedPageBreak/>
        <w:t>华南农业大学本科通识教育选修课程管理规定</w:t>
      </w:r>
    </w:p>
    <w:p w:rsidR="008079D8" w:rsidRPr="008079D8" w:rsidRDefault="008079D8" w:rsidP="008079D8">
      <w:pPr>
        <w:widowControl/>
        <w:spacing w:before="245" w:after="245" w:line="562" w:lineRule="atLeast"/>
        <w:jc w:val="center"/>
        <w:rPr>
          <w:rFonts w:ascii="微软雅黑" w:eastAsia="微软雅黑" w:hAnsi="微软雅黑" w:cs="宋体" w:hint="eastAsia"/>
          <w:color w:val="333333"/>
          <w:kern w:val="0"/>
          <w:szCs w:val="21"/>
        </w:rPr>
      </w:pPr>
      <w:r w:rsidRPr="008079D8">
        <w:rPr>
          <w:rFonts w:ascii="黑体" w:eastAsia="黑体" w:hAnsi="黑体" w:cs="宋体" w:hint="eastAsia"/>
          <w:color w:val="333333"/>
          <w:kern w:val="0"/>
          <w:sz w:val="32"/>
          <w:szCs w:val="32"/>
        </w:rPr>
        <w:t xml:space="preserve">第一章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 xml:space="preserve">总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则</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第一条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通识教育选修课程是我校本科教学课程体系的重要组成部分，是一套旨在拓宽基础、强化素质、培养通识的跨学科基础的教学体系，重在启发学生思想，培养自主学习的能力，为学生跨学科学习、研究和合作能力的培养奠定基础。为加强学校通识教育选修课程的管理，确保教学质量，特制定本规定。</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第二条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通识教育选修课程应具备时代性、科学性和实用性的特点，其目的是为了拓展学生知识面，优化学生知识结构，提高学生的思想水平和综合素质，培养学生的人文精神和科学精神，增强学生服务社会的能力。</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第三条</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通识教育选修课程是指具有全校自由选课属性的课程，涵盖公共选修课、</w:t>
      </w:r>
      <w:r w:rsidRPr="008079D8">
        <w:rPr>
          <w:rFonts w:ascii="微软雅黑" w:eastAsia="微软雅黑" w:hAnsi="微软雅黑" w:cs="宋体" w:hint="eastAsia"/>
          <w:color w:val="333333"/>
          <w:kern w:val="0"/>
          <w:sz w:val="32"/>
          <w:szCs w:val="32"/>
        </w:rPr>
        <w:t>A</w:t>
      </w:r>
      <w:r w:rsidRPr="008079D8">
        <w:rPr>
          <w:rFonts w:ascii="仿宋" w:eastAsia="仿宋" w:hAnsi="仿宋" w:cs="宋体" w:hint="eastAsia"/>
          <w:color w:val="333333"/>
          <w:kern w:val="0"/>
          <w:sz w:val="32"/>
          <w:szCs w:val="32"/>
        </w:rPr>
        <w:t>系列课程、语言文化系列课程、信息技术系列课程、美育系列课程和大国三</w:t>
      </w:r>
      <w:proofErr w:type="gramStart"/>
      <w:r w:rsidRPr="008079D8">
        <w:rPr>
          <w:rFonts w:ascii="仿宋" w:eastAsia="仿宋" w:hAnsi="仿宋" w:cs="宋体" w:hint="eastAsia"/>
          <w:color w:val="333333"/>
          <w:kern w:val="0"/>
          <w:sz w:val="32"/>
          <w:szCs w:val="32"/>
        </w:rPr>
        <w:t>农系列</w:t>
      </w:r>
      <w:proofErr w:type="gramEnd"/>
      <w:r w:rsidRPr="008079D8">
        <w:rPr>
          <w:rFonts w:ascii="仿宋" w:eastAsia="仿宋" w:hAnsi="仿宋" w:cs="宋体" w:hint="eastAsia"/>
          <w:color w:val="333333"/>
          <w:kern w:val="0"/>
          <w:sz w:val="32"/>
          <w:szCs w:val="32"/>
        </w:rPr>
        <w:t>课程等。</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第四条</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通识教育选修课程一般为</w:t>
      </w:r>
      <w:r w:rsidRPr="008079D8">
        <w:rPr>
          <w:rFonts w:ascii="微软雅黑" w:eastAsia="微软雅黑" w:hAnsi="微软雅黑" w:cs="宋体" w:hint="eastAsia"/>
          <w:color w:val="333333"/>
          <w:kern w:val="0"/>
          <w:sz w:val="32"/>
          <w:szCs w:val="32"/>
        </w:rPr>
        <w:t>32</w:t>
      </w:r>
      <w:r w:rsidRPr="008079D8">
        <w:rPr>
          <w:rFonts w:ascii="仿宋" w:eastAsia="仿宋" w:hAnsi="仿宋" w:cs="宋体" w:hint="eastAsia"/>
          <w:color w:val="333333"/>
          <w:kern w:val="0"/>
          <w:sz w:val="32"/>
          <w:szCs w:val="32"/>
        </w:rPr>
        <w:t>学时，</w:t>
      </w:r>
      <w:r w:rsidRPr="008079D8">
        <w:rPr>
          <w:rFonts w:ascii="微软雅黑" w:eastAsia="微软雅黑" w:hAnsi="微软雅黑" w:cs="宋体" w:hint="eastAsia"/>
          <w:color w:val="333333"/>
          <w:kern w:val="0"/>
          <w:sz w:val="32"/>
          <w:szCs w:val="32"/>
        </w:rPr>
        <w:t>2</w:t>
      </w:r>
      <w:r w:rsidRPr="008079D8">
        <w:rPr>
          <w:rFonts w:ascii="仿宋" w:eastAsia="仿宋" w:hAnsi="仿宋" w:cs="宋体" w:hint="eastAsia"/>
          <w:color w:val="333333"/>
          <w:kern w:val="0"/>
          <w:sz w:val="32"/>
          <w:szCs w:val="32"/>
        </w:rPr>
        <w:t>学分。</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第五条</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为打造通识教育选修“金课”，学校鼓励并支持多个教师组建课程教学团队申报建设通识教育选修课。</w:t>
      </w:r>
    </w:p>
    <w:p w:rsidR="008079D8" w:rsidRPr="008079D8" w:rsidRDefault="008079D8" w:rsidP="008079D8">
      <w:pPr>
        <w:widowControl/>
        <w:spacing w:before="245" w:after="245" w:line="562" w:lineRule="atLeast"/>
        <w:jc w:val="center"/>
        <w:rPr>
          <w:rFonts w:ascii="微软雅黑" w:eastAsia="微软雅黑" w:hAnsi="微软雅黑" w:cs="宋体" w:hint="eastAsia"/>
          <w:color w:val="333333"/>
          <w:kern w:val="0"/>
          <w:szCs w:val="21"/>
        </w:rPr>
      </w:pPr>
      <w:r w:rsidRPr="008079D8">
        <w:rPr>
          <w:rFonts w:ascii="黑体" w:eastAsia="黑体" w:hAnsi="黑体" w:cs="宋体" w:hint="eastAsia"/>
          <w:color w:val="333333"/>
          <w:kern w:val="0"/>
          <w:sz w:val="32"/>
          <w:szCs w:val="32"/>
        </w:rPr>
        <w:t xml:space="preserve">第二章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课程开设</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lastRenderedPageBreak/>
        <w:t>第六条</w:t>
      </w:r>
      <w:r w:rsidRPr="008079D8">
        <w:rPr>
          <w:rFonts w:ascii="Calibri" w:eastAsia="仿宋" w:hAnsi="Calibri" w:cs="Calibri"/>
          <w:b/>
          <w:bCs/>
          <w:color w:val="333333"/>
          <w:kern w:val="0"/>
          <w:sz w:val="32"/>
          <w:szCs w:val="32"/>
        </w:rPr>
        <w:t>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申请新开设通识教育选修课程的教师须在前一学期（每年</w:t>
      </w:r>
      <w:r w:rsidRPr="008079D8">
        <w:rPr>
          <w:rFonts w:ascii="微软雅黑" w:eastAsia="微软雅黑" w:hAnsi="微软雅黑" w:cs="宋体" w:hint="eastAsia"/>
          <w:color w:val="333333"/>
          <w:kern w:val="0"/>
          <w:sz w:val="32"/>
          <w:szCs w:val="32"/>
        </w:rPr>
        <w:t>4</w:t>
      </w:r>
      <w:r w:rsidRPr="008079D8">
        <w:rPr>
          <w:rFonts w:ascii="仿宋" w:eastAsia="仿宋" w:hAnsi="仿宋" w:cs="宋体" w:hint="eastAsia"/>
          <w:color w:val="333333"/>
          <w:kern w:val="0"/>
          <w:sz w:val="32"/>
          <w:szCs w:val="32"/>
        </w:rPr>
        <w:t>月或</w:t>
      </w:r>
      <w:r w:rsidRPr="008079D8">
        <w:rPr>
          <w:rFonts w:ascii="微软雅黑" w:eastAsia="微软雅黑" w:hAnsi="微软雅黑" w:cs="宋体" w:hint="eastAsia"/>
          <w:color w:val="333333"/>
          <w:kern w:val="0"/>
          <w:sz w:val="32"/>
          <w:szCs w:val="32"/>
        </w:rPr>
        <w:t>10</w:t>
      </w:r>
      <w:r w:rsidRPr="008079D8">
        <w:rPr>
          <w:rFonts w:ascii="仿宋" w:eastAsia="仿宋" w:hAnsi="仿宋" w:cs="宋体" w:hint="eastAsia"/>
          <w:color w:val="333333"/>
          <w:kern w:val="0"/>
          <w:sz w:val="32"/>
          <w:szCs w:val="32"/>
        </w:rPr>
        <w:t>月）填写《华南农业大学通识教育选修课程开课申报表》（一式</w:t>
      </w:r>
      <w:r w:rsidRPr="008079D8">
        <w:rPr>
          <w:rFonts w:ascii="微软雅黑" w:eastAsia="微软雅黑" w:hAnsi="微软雅黑" w:cs="宋体" w:hint="eastAsia"/>
          <w:color w:val="333333"/>
          <w:kern w:val="0"/>
          <w:sz w:val="32"/>
          <w:szCs w:val="32"/>
        </w:rPr>
        <w:t>3</w:t>
      </w:r>
      <w:r w:rsidRPr="008079D8">
        <w:rPr>
          <w:rFonts w:ascii="仿宋" w:eastAsia="仿宋" w:hAnsi="仿宋" w:cs="宋体" w:hint="eastAsia"/>
          <w:color w:val="333333"/>
          <w:kern w:val="0"/>
          <w:sz w:val="32"/>
          <w:szCs w:val="32"/>
        </w:rPr>
        <w:t>份），连同课程人才培养大纲送所在单位分管领导审批后报本科生院评审。每位教师最多可开设</w:t>
      </w:r>
      <w:r w:rsidRPr="008079D8">
        <w:rPr>
          <w:rFonts w:ascii="微软雅黑" w:eastAsia="微软雅黑" w:hAnsi="微软雅黑" w:cs="宋体" w:hint="eastAsia"/>
          <w:color w:val="333333"/>
          <w:kern w:val="0"/>
          <w:sz w:val="32"/>
          <w:szCs w:val="32"/>
        </w:rPr>
        <w:t>2</w:t>
      </w:r>
      <w:r w:rsidRPr="008079D8">
        <w:rPr>
          <w:rFonts w:ascii="仿宋" w:eastAsia="仿宋" w:hAnsi="仿宋" w:cs="宋体" w:hint="eastAsia"/>
          <w:color w:val="333333"/>
          <w:kern w:val="0"/>
          <w:sz w:val="32"/>
          <w:szCs w:val="32"/>
        </w:rPr>
        <w:t>门通识教育选修课程。</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第七条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通识教育选修课程的主讲教师须具有中级以上专业技术职称或博士学位，且有申报课程相应的专业背景。通过在线开放课程平台开设通识教育选修课程的课程负责人除具备以上条件外还须满足《华南农业大学在线开放课程建设与管理办法》所列相关申报条件。</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第八条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任课教师应根据本科生院下发的通知（一般在第八周），在规定时间内登录教务管理系统申请下学期通识教育选修课程的教学任务；同一门课程同一位教师最多可申请开设</w:t>
      </w:r>
      <w:r w:rsidRPr="008079D8">
        <w:rPr>
          <w:rFonts w:ascii="微软雅黑" w:eastAsia="微软雅黑" w:hAnsi="微软雅黑" w:cs="宋体" w:hint="eastAsia"/>
          <w:color w:val="333333"/>
          <w:kern w:val="0"/>
          <w:sz w:val="32"/>
          <w:szCs w:val="32"/>
        </w:rPr>
        <w:t>2</w:t>
      </w:r>
      <w:r w:rsidRPr="008079D8">
        <w:rPr>
          <w:rFonts w:ascii="仿宋" w:eastAsia="仿宋" w:hAnsi="仿宋" w:cs="宋体" w:hint="eastAsia"/>
          <w:color w:val="333333"/>
          <w:kern w:val="0"/>
          <w:sz w:val="32"/>
          <w:szCs w:val="32"/>
        </w:rPr>
        <w:t>个教学班，且必须安排在不同校区，每个教学班设定选课人数原则上不超过</w:t>
      </w:r>
      <w:r w:rsidRPr="008079D8">
        <w:rPr>
          <w:rFonts w:ascii="微软雅黑" w:eastAsia="微软雅黑" w:hAnsi="微软雅黑" w:cs="宋体" w:hint="eastAsia"/>
          <w:color w:val="333333"/>
          <w:kern w:val="0"/>
          <w:sz w:val="32"/>
          <w:szCs w:val="32"/>
        </w:rPr>
        <w:t>150</w:t>
      </w:r>
      <w:r w:rsidRPr="008079D8">
        <w:rPr>
          <w:rFonts w:ascii="仿宋" w:eastAsia="仿宋" w:hAnsi="仿宋" w:cs="宋体" w:hint="eastAsia"/>
          <w:color w:val="333333"/>
          <w:kern w:val="0"/>
          <w:sz w:val="32"/>
          <w:szCs w:val="32"/>
        </w:rPr>
        <w:t>人。</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第九条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凡申请新开出的课程，须通过专家评审后方可进入课程库。课程开放选课时，选课对象须面向全校学生，并按选课通知规定的时间和流程在教务系统或在线开放课程平台进行选课，不得以导入学生名单的方式进行选课。任课教师须做好开课准备，按计划依时开课。</w:t>
      </w:r>
    </w:p>
    <w:p w:rsidR="008079D8" w:rsidRPr="008079D8" w:rsidRDefault="008079D8" w:rsidP="008079D8">
      <w:pPr>
        <w:widowControl/>
        <w:spacing w:before="245" w:after="245" w:line="562" w:lineRule="atLeast"/>
        <w:jc w:val="center"/>
        <w:rPr>
          <w:rFonts w:ascii="微软雅黑" w:eastAsia="微软雅黑" w:hAnsi="微软雅黑" w:cs="宋体" w:hint="eastAsia"/>
          <w:color w:val="333333"/>
          <w:kern w:val="0"/>
          <w:szCs w:val="21"/>
        </w:rPr>
      </w:pPr>
      <w:r w:rsidRPr="008079D8">
        <w:rPr>
          <w:rFonts w:ascii="黑体" w:eastAsia="黑体" w:hAnsi="黑体" w:cs="宋体" w:hint="eastAsia"/>
          <w:color w:val="333333"/>
          <w:kern w:val="0"/>
          <w:sz w:val="32"/>
          <w:szCs w:val="32"/>
        </w:rPr>
        <w:t xml:space="preserve">第三章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课程修读</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lastRenderedPageBreak/>
        <w:t xml:space="preserve">第十条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学生须依据专业教学计划的要求修读通识教育选修课程，原则上须在第</w:t>
      </w:r>
      <w:r w:rsidRPr="008079D8">
        <w:rPr>
          <w:rFonts w:ascii="微软雅黑" w:eastAsia="微软雅黑" w:hAnsi="微软雅黑" w:cs="宋体" w:hint="eastAsia"/>
          <w:color w:val="333333"/>
          <w:kern w:val="0"/>
          <w:sz w:val="32"/>
          <w:szCs w:val="32"/>
        </w:rPr>
        <w:t>7</w:t>
      </w:r>
      <w:r w:rsidRPr="008079D8">
        <w:rPr>
          <w:rFonts w:ascii="仿宋" w:eastAsia="仿宋" w:hAnsi="仿宋" w:cs="宋体" w:hint="eastAsia"/>
          <w:color w:val="333333"/>
          <w:kern w:val="0"/>
          <w:sz w:val="32"/>
          <w:szCs w:val="32"/>
        </w:rPr>
        <w:t>学期之前修完教学计划要求的通识教育选修课程并取得相应学分。</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第十一条</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学生每学期需按照本科生院的选课安排登录教务管理系统或在线开放课程平台进行选课并核实已选课程，逾期不再办理补退选手续。</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第十二条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学生不得选读与本专业人才培养方案中必修课程和专业选修课程相同或基本相同的通识教育选修课程。</w:t>
      </w:r>
    </w:p>
    <w:p w:rsidR="008079D8" w:rsidRPr="008079D8" w:rsidRDefault="008079D8" w:rsidP="008079D8">
      <w:pPr>
        <w:widowControl/>
        <w:spacing w:before="245" w:after="245" w:line="562" w:lineRule="atLeast"/>
        <w:jc w:val="center"/>
        <w:rPr>
          <w:rFonts w:ascii="微软雅黑" w:eastAsia="微软雅黑" w:hAnsi="微软雅黑" w:cs="宋体" w:hint="eastAsia"/>
          <w:color w:val="333333"/>
          <w:kern w:val="0"/>
          <w:szCs w:val="21"/>
        </w:rPr>
      </w:pPr>
      <w:r w:rsidRPr="008079D8">
        <w:rPr>
          <w:rFonts w:ascii="黑体" w:eastAsia="黑体" w:hAnsi="黑体" w:cs="宋体" w:hint="eastAsia"/>
          <w:color w:val="333333"/>
          <w:kern w:val="0"/>
          <w:sz w:val="32"/>
          <w:szCs w:val="32"/>
        </w:rPr>
        <w:t xml:space="preserve">第四章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课程考核</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第十三条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通识教育选修课程的考核方式由任课教师根据课程特点，按《华南农业大学本科课程考核管理规定》执行。</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第十四条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未办理选修手续而自行听课者或旷课学时累计达该门课程学时三分之一者，均不得参加该课程考核；已参加课程考核的，学校不予登记课程成绩。</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第十五条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学生因外出实习无法继续上课者，须于外出实习前一周由学院开具相关证明向任课教师请假，返校后若缺课未超过该课程三分之一学时可继续上课；如因外出实习无法参加课程考核者，任课教师应予另行安排考核。</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lastRenderedPageBreak/>
        <w:t xml:space="preserve">第十六条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已选的通识教育选修课程均参与学期末</w:t>
      </w:r>
      <w:proofErr w:type="gramStart"/>
      <w:r w:rsidRPr="008079D8">
        <w:rPr>
          <w:rFonts w:ascii="仿宋" w:eastAsia="仿宋" w:hAnsi="仿宋" w:cs="宋体" w:hint="eastAsia"/>
          <w:color w:val="333333"/>
          <w:kern w:val="0"/>
          <w:sz w:val="32"/>
          <w:szCs w:val="32"/>
        </w:rPr>
        <w:t>学分绩点的</w:t>
      </w:r>
      <w:proofErr w:type="gramEnd"/>
      <w:r w:rsidRPr="008079D8">
        <w:rPr>
          <w:rFonts w:ascii="仿宋" w:eastAsia="仿宋" w:hAnsi="仿宋" w:cs="宋体" w:hint="eastAsia"/>
          <w:color w:val="333333"/>
          <w:kern w:val="0"/>
          <w:sz w:val="32"/>
          <w:szCs w:val="32"/>
        </w:rPr>
        <w:t>计算。不参加已选课程的修读或考核者，课程成绩以</w:t>
      </w:r>
      <w:r w:rsidRPr="008079D8">
        <w:rPr>
          <w:rFonts w:ascii="微软雅黑" w:eastAsia="微软雅黑" w:hAnsi="微软雅黑" w:cs="宋体" w:hint="eastAsia"/>
          <w:color w:val="333333"/>
          <w:kern w:val="0"/>
          <w:sz w:val="32"/>
          <w:szCs w:val="32"/>
        </w:rPr>
        <w:t>0</w:t>
      </w:r>
      <w:r w:rsidRPr="008079D8">
        <w:rPr>
          <w:rFonts w:ascii="仿宋" w:eastAsia="仿宋" w:hAnsi="仿宋" w:cs="宋体" w:hint="eastAsia"/>
          <w:color w:val="333333"/>
          <w:kern w:val="0"/>
          <w:sz w:val="32"/>
          <w:szCs w:val="32"/>
        </w:rPr>
        <w:t>分计算。</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第十七条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学生放弃通识教育选修课程考核或考核不及格均不能取得学分，但可重修该门课程或另选其他通识教育选修课程进行修读。</w:t>
      </w:r>
    </w:p>
    <w:p w:rsidR="008079D8" w:rsidRPr="008079D8" w:rsidRDefault="008079D8" w:rsidP="008079D8">
      <w:pPr>
        <w:widowControl/>
        <w:spacing w:before="245" w:after="245" w:line="562" w:lineRule="atLeast"/>
        <w:jc w:val="center"/>
        <w:rPr>
          <w:rFonts w:ascii="微软雅黑" w:eastAsia="微软雅黑" w:hAnsi="微软雅黑" w:cs="宋体" w:hint="eastAsia"/>
          <w:color w:val="333333"/>
          <w:kern w:val="0"/>
          <w:szCs w:val="21"/>
        </w:rPr>
      </w:pPr>
      <w:r w:rsidRPr="008079D8">
        <w:rPr>
          <w:rFonts w:ascii="黑体" w:eastAsia="黑体" w:hAnsi="黑体" w:cs="宋体" w:hint="eastAsia"/>
          <w:color w:val="333333"/>
          <w:kern w:val="0"/>
          <w:sz w:val="32"/>
          <w:szCs w:val="32"/>
        </w:rPr>
        <w:t xml:space="preserve">第五章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课程管理</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第十八条</w:t>
      </w:r>
      <w:r w:rsidRPr="008079D8">
        <w:rPr>
          <w:rFonts w:ascii="Calibri" w:eastAsia="仿宋" w:hAnsi="Calibri" w:cs="Calibri"/>
          <w:b/>
          <w:bCs/>
          <w:color w:val="333333"/>
          <w:kern w:val="0"/>
          <w:sz w:val="32"/>
          <w:szCs w:val="32"/>
        </w:rPr>
        <w:t>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为充分利用学校资源，通识教育选修课程选修学生人数不足</w:t>
      </w:r>
      <w:r w:rsidRPr="008079D8">
        <w:rPr>
          <w:rFonts w:ascii="微软雅黑" w:eastAsia="微软雅黑" w:hAnsi="微软雅黑" w:cs="宋体" w:hint="eastAsia"/>
          <w:color w:val="333333"/>
          <w:kern w:val="0"/>
          <w:sz w:val="32"/>
          <w:szCs w:val="32"/>
        </w:rPr>
        <w:t>30</w:t>
      </w:r>
      <w:r w:rsidRPr="008079D8">
        <w:rPr>
          <w:rFonts w:ascii="仿宋" w:eastAsia="仿宋" w:hAnsi="仿宋" w:cs="宋体" w:hint="eastAsia"/>
          <w:color w:val="333333"/>
          <w:kern w:val="0"/>
          <w:sz w:val="32"/>
          <w:szCs w:val="32"/>
        </w:rPr>
        <w:t>人的，原则上不予开课。如果连续两个学年（</w:t>
      </w:r>
      <w:r w:rsidRPr="008079D8">
        <w:rPr>
          <w:rFonts w:ascii="微软雅黑" w:eastAsia="微软雅黑" w:hAnsi="微软雅黑" w:cs="宋体" w:hint="eastAsia"/>
          <w:color w:val="333333"/>
          <w:kern w:val="0"/>
          <w:sz w:val="32"/>
          <w:szCs w:val="32"/>
        </w:rPr>
        <w:t>4</w:t>
      </w:r>
      <w:r w:rsidRPr="008079D8">
        <w:rPr>
          <w:rFonts w:ascii="仿宋" w:eastAsia="仿宋" w:hAnsi="仿宋" w:cs="宋体" w:hint="eastAsia"/>
          <w:color w:val="333333"/>
          <w:kern w:val="0"/>
          <w:sz w:val="32"/>
          <w:szCs w:val="32"/>
        </w:rPr>
        <w:t>个学期）的每学期修</w:t>
      </w:r>
      <w:proofErr w:type="gramStart"/>
      <w:r w:rsidRPr="008079D8">
        <w:rPr>
          <w:rFonts w:ascii="仿宋" w:eastAsia="仿宋" w:hAnsi="仿宋" w:cs="宋体" w:hint="eastAsia"/>
          <w:color w:val="333333"/>
          <w:kern w:val="0"/>
          <w:sz w:val="32"/>
          <w:szCs w:val="32"/>
        </w:rPr>
        <w:t>读学生</w:t>
      </w:r>
      <w:proofErr w:type="gramEnd"/>
      <w:r w:rsidRPr="008079D8">
        <w:rPr>
          <w:rFonts w:ascii="仿宋" w:eastAsia="仿宋" w:hAnsi="仿宋" w:cs="宋体" w:hint="eastAsia"/>
          <w:color w:val="333333"/>
          <w:kern w:val="0"/>
          <w:sz w:val="32"/>
          <w:szCs w:val="32"/>
        </w:rPr>
        <w:t>人数不足</w:t>
      </w:r>
      <w:r w:rsidRPr="008079D8">
        <w:rPr>
          <w:rFonts w:ascii="微软雅黑" w:eastAsia="微软雅黑" w:hAnsi="微软雅黑" w:cs="宋体" w:hint="eastAsia"/>
          <w:color w:val="333333"/>
          <w:kern w:val="0"/>
          <w:sz w:val="32"/>
          <w:szCs w:val="32"/>
        </w:rPr>
        <w:t>30</w:t>
      </w:r>
      <w:r w:rsidRPr="008079D8">
        <w:rPr>
          <w:rFonts w:ascii="仿宋" w:eastAsia="仿宋" w:hAnsi="仿宋" w:cs="宋体" w:hint="eastAsia"/>
          <w:color w:val="333333"/>
          <w:kern w:val="0"/>
          <w:sz w:val="32"/>
          <w:szCs w:val="32"/>
        </w:rPr>
        <w:t>人或未申请开出的，将取消该门课程。处于建设期的校级及以上一流课程不受该条款的限制。</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第十九条</w:t>
      </w:r>
      <w:r w:rsidRPr="008079D8">
        <w:rPr>
          <w:rFonts w:ascii="仿宋" w:eastAsia="仿宋" w:hAnsi="仿宋" w:cs="宋体" w:hint="eastAsia"/>
          <w:color w:val="333333"/>
          <w:kern w:val="0"/>
          <w:sz w:val="32"/>
          <w:szCs w:val="32"/>
        </w:rPr>
        <w:t>连续两学期教学质量评价排名位于本单位后</w:t>
      </w:r>
      <w:r w:rsidRPr="008079D8">
        <w:rPr>
          <w:rFonts w:ascii="微软雅黑" w:eastAsia="微软雅黑" w:hAnsi="微软雅黑" w:cs="宋体" w:hint="eastAsia"/>
          <w:color w:val="333333"/>
          <w:kern w:val="0"/>
          <w:sz w:val="32"/>
          <w:szCs w:val="32"/>
        </w:rPr>
        <w:t>10</w:t>
      </w:r>
      <w:r w:rsidRPr="008079D8">
        <w:rPr>
          <w:rFonts w:ascii="仿宋" w:eastAsia="仿宋" w:hAnsi="仿宋" w:cs="宋体" w:hint="eastAsia"/>
          <w:color w:val="333333"/>
          <w:kern w:val="0"/>
          <w:sz w:val="32"/>
          <w:szCs w:val="32"/>
        </w:rPr>
        <w:t>%，或上一学期该门课程的教学质量评价分数低于</w:t>
      </w:r>
      <w:r w:rsidRPr="008079D8">
        <w:rPr>
          <w:rFonts w:ascii="微软雅黑" w:eastAsia="微软雅黑" w:hAnsi="微软雅黑" w:cs="宋体" w:hint="eastAsia"/>
          <w:color w:val="333333"/>
          <w:kern w:val="0"/>
          <w:sz w:val="32"/>
          <w:szCs w:val="32"/>
        </w:rPr>
        <w:t>70</w:t>
      </w:r>
      <w:r w:rsidRPr="008079D8">
        <w:rPr>
          <w:rFonts w:ascii="仿宋" w:eastAsia="仿宋" w:hAnsi="仿宋" w:cs="宋体" w:hint="eastAsia"/>
          <w:color w:val="333333"/>
          <w:kern w:val="0"/>
          <w:sz w:val="32"/>
          <w:szCs w:val="32"/>
        </w:rPr>
        <w:t>分，将取消该门课程。处于建设期的校级及以上一流课程不受该条款的限制。</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第二十条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每学期通识教育选修课程一经安排不得随意更改，若任课教师开出的课程确有特殊原因需要变动的，应提前通知或在课程安排公布后一周内反馈至本科生院。</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第二十一条</w:t>
      </w:r>
      <w:r w:rsidRPr="008079D8">
        <w:rPr>
          <w:rFonts w:ascii="Calibri" w:eastAsia="仿宋" w:hAnsi="Calibri" w:cs="Calibri"/>
          <w:b/>
          <w:bCs/>
          <w:color w:val="333333"/>
          <w:kern w:val="0"/>
          <w:sz w:val="32"/>
          <w:szCs w:val="32"/>
        </w:rPr>
        <w:t>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课程进度和教学安排不得随意变动，任课教师如有特殊情况需要临时调（停）课的，应按《华南农</w:t>
      </w:r>
      <w:r w:rsidRPr="008079D8">
        <w:rPr>
          <w:rFonts w:ascii="仿宋" w:eastAsia="仿宋" w:hAnsi="仿宋" w:cs="宋体" w:hint="eastAsia"/>
          <w:color w:val="333333"/>
          <w:kern w:val="0"/>
          <w:sz w:val="32"/>
          <w:szCs w:val="32"/>
        </w:rPr>
        <w:lastRenderedPageBreak/>
        <w:t>业大学调、停、补课管理规定》办理调（停）课手续，并由任课教师负责通知学生。</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第二十二条</w:t>
      </w:r>
      <w:r w:rsidRPr="008079D8">
        <w:rPr>
          <w:rFonts w:ascii="Calibri" w:eastAsia="仿宋" w:hAnsi="Calibri" w:cs="Calibri"/>
          <w:b/>
          <w:bCs/>
          <w:color w:val="333333"/>
          <w:kern w:val="0"/>
          <w:sz w:val="32"/>
          <w:szCs w:val="32"/>
        </w:rPr>
        <w:t>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对新增开出的线下授课通识教育选修课程，学校在首个开课学期按修读该门课程的学生人数给予一定的开课经费，开课经费由学院负责管理，由任课教师支配使用；依托在线开放课程（慕课）平台开设的通识教育选修课程不给予开课经费；通识教育选修课程工作量按照学校本科教学工作量计算办法核算。</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第二十三条</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通识教育选修课程的学分不能替代必修课程、专业选修课程的学分。</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第二十四条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跨校修读的课程，其所得学分可替代通识教育选修课程学分。</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第二十五条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修读辅修专业、双学位专业的学生如中途放弃修读辅修专业或双学位专业，其已修读的课程学分可以替代通识教育选修课程学分。学生转专业后，其转专业前已修读的新专业教学计划外的课程学分可替代通识教育选修课程学分。</w:t>
      </w:r>
    </w:p>
    <w:p w:rsidR="008079D8" w:rsidRPr="008079D8" w:rsidRDefault="008079D8" w:rsidP="008079D8">
      <w:pPr>
        <w:widowControl/>
        <w:spacing w:before="245" w:after="245" w:line="562" w:lineRule="atLeast"/>
        <w:jc w:val="center"/>
        <w:rPr>
          <w:rFonts w:ascii="微软雅黑" w:eastAsia="微软雅黑" w:hAnsi="微软雅黑" w:cs="宋体" w:hint="eastAsia"/>
          <w:color w:val="333333"/>
          <w:kern w:val="0"/>
          <w:szCs w:val="21"/>
        </w:rPr>
      </w:pPr>
      <w:r w:rsidRPr="008079D8">
        <w:rPr>
          <w:rFonts w:ascii="黑体" w:eastAsia="黑体" w:hAnsi="黑体" w:cs="宋体" w:hint="eastAsia"/>
          <w:color w:val="333333"/>
          <w:kern w:val="0"/>
          <w:sz w:val="32"/>
          <w:szCs w:val="32"/>
        </w:rPr>
        <w:t xml:space="preserve">第六章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 xml:space="preserve">附 </w:t>
      </w:r>
      <w:r w:rsidRPr="008079D8">
        <w:rPr>
          <w:rFonts w:ascii="Calibri" w:eastAsia="黑体" w:hAnsi="Calibri" w:cs="Calibri"/>
          <w:color w:val="333333"/>
          <w:kern w:val="0"/>
          <w:sz w:val="32"/>
          <w:szCs w:val="32"/>
        </w:rPr>
        <w:t> </w:t>
      </w:r>
      <w:r w:rsidRPr="008079D8">
        <w:rPr>
          <w:rFonts w:ascii="黑体" w:eastAsia="黑体" w:hAnsi="黑体" w:cs="宋体" w:hint="eastAsia"/>
          <w:color w:val="333333"/>
          <w:kern w:val="0"/>
          <w:sz w:val="32"/>
          <w:szCs w:val="32"/>
        </w:rPr>
        <w:t>则</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t xml:space="preserve">第二十六条 </w:t>
      </w:r>
      <w:r w:rsidRPr="008079D8">
        <w:rPr>
          <w:rFonts w:ascii="Calibri" w:eastAsia="仿宋" w:hAnsi="Calibri" w:cs="Calibri"/>
          <w:b/>
          <w:bCs/>
          <w:color w:val="333333"/>
          <w:kern w:val="0"/>
          <w:sz w:val="32"/>
          <w:szCs w:val="32"/>
        </w:rPr>
        <w:t> </w:t>
      </w:r>
      <w:r w:rsidRPr="008079D8">
        <w:rPr>
          <w:rFonts w:ascii="仿宋" w:eastAsia="仿宋" w:hAnsi="仿宋" w:cs="宋体" w:hint="eastAsia"/>
          <w:color w:val="333333"/>
          <w:kern w:val="0"/>
          <w:sz w:val="32"/>
          <w:szCs w:val="32"/>
        </w:rPr>
        <w:t>本规定自公布之日起施行,原《华南农业大学公共选修课程管理规定》（华南农办〔</w:t>
      </w:r>
      <w:r w:rsidRPr="008079D8">
        <w:rPr>
          <w:rFonts w:ascii="微软雅黑" w:eastAsia="微软雅黑" w:hAnsi="微软雅黑" w:cs="宋体" w:hint="eastAsia"/>
          <w:color w:val="333333"/>
          <w:kern w:val="0"/>
          <w:sz w:val="32"/>
          <w:szCs w:val="32"/>
        </w:rPr>
        <w:t>2011</w:t>
      </w:r>
      <w:r w:rsidRPr="008079D8">
        <w:rPr>
          <w:rFonts w:ascii="仿宋" w:eastAsia="仿宋" w:hAnsi="仿宋" w:cs="宋体" w:hint="eastAsia"/>
          <w:color w:val="333333"/>
          <w:kern w:val="0"/>
          <w:sz w:val="32"/>
          <w:szCs w:val="32"/>
        </w:rPr>
        <w:t>〕</w:t>
      </w:r>
      <w:r w:rsidRPr="008079D8">
        <w:rPr>
          <w:rFonts w:ascii="微软雅黑" w:eastAsia="微软雅黑" w:hAnsi="微软雅黑" w:cs="宋体" w:hint="eastAsia"/>
          <w:color w:val="333333"/>
          <w:kern w:val="0"/>
          <w:sz w:val="32"/>
          <w:szCs w:val="32"/>
        </w:rPr>
        <w:t>104</w:t>
      </w:r>
      <w:r w:rsidRPr="008079D8">
        <w:rPr>
          <w:rFonts w:ascii="仿宋" w:eastAsia="仿宋" w:hAnsi="仿宋" w:cs="宋体" w:hint="eastAsia"/>
          <w:color w:val="333333"/>
          <w:kern w:val="0"/>
          <w:sz w:val="32"/>
          <w:szCs w:val="32"/>
        </w:rPr>
        <w:t>号）同时废止。</w:t>
      </w:r>
    </w:p>
    <w:p w:rsidR="008079D8" w:rsidRPr="008079D8" w:rsidRDefault="008079D8" w:rsidP="008079D8">
      <w:pPr>
        <w:widowControl/>
        <w:spacing w:line="562" w:lineRule="atLeast"/>
        <w:ind w:firstLine="648"/>
        <w:jc w:val="left"/>
        <w:rPr>
          <w:rFonts w:ascii="微软雅黑" w:eastAsia="微软雅黑" w:hAnsi="微软雅黑" w:cs="宋体" w:hint="eastAsia"/>
          <w:color w:val="333333"/>
          <w:kern w:val="0"/>
          <w:szCs w:val="21"/>
        </w:rPr>
      </w:pPr>
      <w:r w:rsidRPr="008079D8">
        <w:rPr>
          <w:rFonts w:ascii="仿宋" w:eastAsia="仿宋" w:hAnsi="仿宋" w:cs="宋体" w:hint="eastAsia"/>
          <w:b/>
          <w:bCs/>
          <w:color w:val="333333"/>
          <w:kern w:val="0"/>
          <w:sz w:val="32"/>
          <w:szCs w:val="32"/>
        </w:rPr>
        <w:lastRenderedPageBreak/>
        <w:t>第二十七条</w:t>
      </w:r>
      <w:r w:rsidRPr="008079D8">
        <w:rPr>
          <w:rFonts w:ascii="Calibri" w:eastAsia="仿宋" w:hAnsi="Calibri" w:cs="Calibri"/>
          <w:b/>
          <w:bCs/>
          <w:color w:val="333333"/>
          <w:kern w:val="0"/>
          <w:sz w:val="32"/>
          <w:szCs w:val="32"/>
        </w:rPr>
        <w:t> </w:t>
      </w:r>
      <w:r w:rsidRPr="008079D8">
        <w:rPr>
          <w:rFonts w:ascii="Calibri" w:eastAsia="仿宋" w:hAnsi="Calibri" w:cs="Calibri"/>
          <w:color w:val="333333"/>
          <w:kern w:val="0"/>
          <w:sz w:val="32"/>
          <w:szCs w:val="32"/>
        </w:rPr>
        <w:t> </w:t>
      </w:r>
      <w:r w:rsidRPr="008079D8">
        <w:rPr>
          <w:rFonts w:ascii="仿宋" w:eastAsia="仿宋" w:hAnsi="仿宋" w:cs="宋体" w:hint="eastAsia"/>
          <w:color w:val="333333"/>
          <w:kern w:val="0"/>
          <w:sz w:val="32"/>
          <w:szCs w:val="32"/>
        </w:rPr>
        <w:t>本规定由本科生院负责解释。</w:t>
      </w:r>
      <w:bookmarkStart w:id="0" w:name="_GoBack"/>
      <w:bookmarkEnd w:id="0"/>
    </w:p>
    <w:p w:rsidR="008079D8" w:rsidRPr="008079D8" w:rsidRDefault="008079D8" w:rsidP="008079D8">
      <w:pPr>
        <w:widowControl/>
        <w:spacing w:line="518"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518"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605"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605" w:lineRule="atLeast"/>
        <w:jc w:val="left"/>
        <w:rPr>
          <w:rFonts w:ascii="微软雅黑" w:eastAsia="微软雅黑" w:hAnsi="微软雅黑" w:cs="宋体" w:hint="eastAsia"/>
          <w:color w:val="333333"/>
          <w:kern w:val="0"/>
          <w:szCs w:val="21"/>
        </w:rPr>
      </w:pPr>
    </w:p>
    <w:p w:rsidR="008079D8" w:rsidRPr="008079D8" w:rsidRDefault="008079D8" w:rsidP="008079D8">
      <w:pPr>
        <w:widowControl/>
        <w:spacing w:line="605" w:lineRule="atLeast"/>
        <w:jc w:val="left"/>
        <w:rPr>
          <w:rFonts w:ascii="微软雅黑" w:eastAsia="微软雅黑" w:hAnsi="微软雅黑" w:cs="宋体" w:hint="eastAsia"/>
          <w:color w:val="333333"/>
          <w:kern w:val="0"/>
          <w:szCs w:val="21"/>
        </w:rPr>
      </w:pPr>
    </w:p>
    <w:p w:rsidR="006333DC" w:rsidRDefault="006333DC" w:rsidP="006333DC">
      <w:pPr>
        <w:widowControl/>
        <w:spacing w:line="605" w:lineRule="atLeast"/>
        <w:jc w:val="left"/>
        <w:rPr>
          <w:rFonts w:ascii="微软雅黑" w:eastAsia="微软雅黑" w:hAnsi="微软雅黑" w:cs="宋体"/>
          <w:color w:val="333333"/>
          <w:kern w:val="0"/>
          <w:szCs w:val="21"/>
        </w:rPr>
      </w:pPr>
      <w:r w:rsidRPr="008079D8">
        <w:rPr>
          <w:rFonts w:ascii="黑体" w:eastAsia="黑体" w:hAnsi="黑体" w:cs="宋体" w:hint="eastAsia"/>
          <w:color w:val="333333"/>
          <w:kern w:val="0"/>
          <w:sz w:val="32"/>
          <w:szCs w:val="32"/>
        </w:rPr>
        <w:t>公开方式：</w:t>
      </w:r>
      <w:r w:rsidRPr="008079D8">
        <w:rPr>
          <w:rFonts w:ascii="仿宋" w:eastAsia="仿宋" w:hAnsi="仿宋" w:cs="宋体" w:hint="eastAsia"/>
          <w:color w:val="333333"/>
          <w:kern w:val="0"/>
          <w:sz w:val="32"/>
          <w:szCs w:val="32"/>
        </w:rPr>
        <w:t>主动公开</w:t>
      </w:r>
    </w:p>
    <w:p w:rsidR="006C34C3" w:rsidRPr="008079D8" w:rsidRDefault="006333DC" w:rsidP="006333DC">
      <w:pPr>
        <w:ind w:firstLineChars="900" w:firstLine="2430"/>
      </w:pPr>
      <w:r>
        <w:rPr>
          <w:rFonts w:ascii="仿宋" w:eastAsia="仿宋" w:hAnsi="仿宋" w:hint="eastAsia"/>
          <w:color w:val="333333"/>
          <w:sz w:val="27"/>
          <w:szCs w:val="27"/>
          <w:shd w:val="clear" w:color="auto" w:fill="FFFFFF"/>
        </w:rPr>
        <w:t>华南农业大学党政办公室</w:t>
      </w:r>
      <w:r>
        <w:rPr>
          <w:rFonts w:ascii="Calibri" w:eastAsia="仿宋" w:hAnsi="Calibri" w:cs="Calibri"/>
          <w:color w:val="333333"/>
          <w:sz w:val="27"/>
          <w:szCs w:val="27"/>
          <w:shd w:val="clear" w:color="auto" w:fill="FFFFFF"/>
        </w:rPr>
        <w:t> </w:t>
      </w:r>
      <w:r>
        <w:rPr>
          <w:rFonts w:ascii="仿宋" w:eastAsia="仿宋" w:hAnsi="仿宋" w:hint="eastAsia"/>
          <w:color w:val="333333"/>
          <w:sz w:val="27"/>
          <w:szCs w:val="27"/>
          <w:shd w:val="clear" w:color="auto" w:fill="FFFFFF"/>
        </w:rPr>
        <w:t xml:space="preserve"> </w:t>
      </w:r>
      <w:r>
        <w:rPr>
          <w:rFonts w:ascii="Calibri" w:eastAsia="仿宋" w:hAnsi="Calibri" w:cs="Calibri"/>
          <w:color w:val="333333"/>
          <w:sz w:val="27"/>
          <w:szCs w:val="27"/>
          <w:shd w:val="clear" w:color="auto" w:fill="FFFFFF"/>
        </w:rPr>
        <w:t> </w:t>
      </w:r>
      <w:r>
        <w:rPr>
          <w:rFonts w:ascii="微软雅黑" w:eastAsia="微软雅黑" w:hAnsi="微软雅黑" w:hint="eastAsia"/>
          <w:color w:val="333333"/>
          <w:sz w:val="27"/>
          <w:szCs w:val="27"/>
          <w:shd w:val="clear" w:color="auto" w:fill="FFFFFF"/>
        </w:rPr>
        <w:t>2023</w:t>
      </w:r>
      <w:r>
        <w:rPr>
          <w:rFonts w:ascii="仿宋" w:eastAsia="仿宋" w:hAnsi="仿宋" w:hint="eastAsia"/>
          <w:color w:val="333333"/>
          <w:sz w:val="27"/>
          <w:szCs w:val="27"/>
          <w:shd w:val="clear" w:color="auto" w:fill="FFFFFF"/>
        </w:rPr>
        <w:t>年</w:t>
      </w:r>
      <w:r>
        <w:rPr>
          <w:rFonts w:ascii="微软雅黑" w:eastAsia="微软雅黑" w:hAnsi="微软雅黑" w:hint="eastAsia"/>
          <w:color w:val="333333"/>
          <w:sz w:val="27"/>
          <w:szCs w:val="27"/>
          <w:shd w:val="clear" w:color="auto" w:fill="FFFFFF"/>
        </w:rPr>
        <w:t>1</w:t>
      </w:r>
      <w:r>
        <w:rPr>
          <w:rFonts w:ascii="仿宋" w:eastAsia="仿宋" w:hAnsi="仿宋" w:hint="eastAsia"/>
          <w:color w:val="333333"/>
          <w:sz w:val="27"/>
          <w:szCs w:val="27"/>
          <w:shd w:val="clear" w:color="auto" w:fill="FFFFFF"/>
        </w:rPr>
        <w:t>月</w:t>
      </w:r>
      <w:r>
        <w:rPr>
          <w:rFonts w:ascii="微软雅黑" w:eastAsia="微软雅黑" w:hAnsi="微软雅黑" w:hint="eastAsia"/>
          <w:color w:val="333333"/>
          <w:sz w:val="27"/>
          <w:szCs w:val="27"/>
          <w:shd w:val="clear" w:color="auto" w:fill="FFFFFF"/>
        </w:rPr>
        <w:t>7</w:t>
      </w:r>
      <w:r>
        <w:rPr>
          <w:rFonts w:ascii="仿宋" w:eastAsia="仿宋" w:hAnsi="仿宋" w:hint="eastAsia"/>
          <w:color w:val="333333"/>
          <w:sz w:val="27"/>
          <w:szCs w:val="27"/>
          <w:shd w:val="clear" w:color="auto" w:fill="FFFFFF"/>
        </w:rPr>
        <w:t>日印发</w:t>
      </w:r>
    </w:p>
    <w:sectPr w:rsidR="006C34C3" w:rsidRPr="00807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8D"/>
    <w:rsid w:val="006333DC"/>
    <w:rsid w:val="006C34C3"/>
    <w:rsid w:val="008079D8"/>
    <w:rsid w:val="00E61092"/>
    <w:rsid w:val="00EA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885D"/>
  <w15:chartTrackingRefBased/>
  <w15:docId w15:val="{81604DE9-FADA-4717-A5E4-894EB842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41902">
      <w:bodyDiv w:val="1"/>
      <w:marLeft w:val="0"/>
      <w:marRight w:val="0"/>
      <w:marTop w:val="0"/>
      <w:marBottom w:val="0"/>
      <w:divBdr>
        <w:top w:val="none" w:sz="0" w:space="0" w:color="auto"/>
        <w:left w:val="none" w:sz="0" w:space="0" w:color="auto"/>
        <w:bottom w:val="none" w:sz="0" w:space="0" w:color="auto"/>
        <w:right w:val="none" w:sz="0" w:space="0" w:color="auto"/>
      </w:divBdr>
      <w:divsChild>
        <w:div w:id="1141117572">
          <w:marLeft w:val="0"/>
          <w:marRight w:val="0"/>
          <w:marTop w:val="0"/>
          <w:marBottom w:val="0"/>
          <w:divBdr>
            <w:top w:val="none" w:sz="0" w:space="0" w:color="auto"/>
            <w:left w:val="none" w:sz="0" w:space="0" w:color="auto"/>
            <w:bottom w:val="none" w:sz="0" w:space="0" w:color="auto"/>
            <w:right w:val="none" w:sz="0" w:space="0" w:color="auto"/>
          </w:divBdr>
          <w:divsChild>
            <w:div w:id="1341930652">
              <w:marLeft w:val="0"/>
              <w:marRight w:val="0"/>
              <w:marTop w:val="0"/>
              <w:marBottom w:val="0"/>
              <w:divBdr>
                <w:top w:val="none" w:sz="0" w:space="0" w:color="auto"/>
                <w:left w:val="single" w:sz="6" w:space="8" w:color="DFDFDF"/>
                <w:bottom w:val="none" w:sz="0" w:space="0" w:color="auto"/>
                <w:right w:val="single" w:sz="6" w:space="8" w:color="DFDFDF"/>
              </w:divBdr>
              <w:divsChild>
                <w:div w:id="170411832">
                  <w:marLeft w:val="0"/>
                  <w:marRight w:val="0"/>
                  <w:marTop w:val="0"/>
                  <w:marBottom w:val="0"/>
                  <w:divBdr>
                    <w:top w:val="none" w:sz="0" w:space="0" w:color="auto"/>
                    <w:left w:val="none" w:sz="0" w:space="0" w:color="auto"/>
                    <w:bottom w:val="none" w:sz="0" w:space="0" w:color="auto"/>
                    <w:right w:val="none" w:sz="0" w:space="0" w:color="auto"/>
                  </w:divBdr>
                  <w:divsChild>
                    <w:div w:id="864908900">
                      <w:marLeft w:val="0"/>
                      <w:marRight w:val="0"/>
                      <w:marTop w:val="150"/>
                      <w:marBottom w:val="0"/>
                      <w:divBdr>
                        <w:top w:val="none" w:sz="0" w:space="0" w:color="auto"/>
                        <w:left w:val="none" w:sz="0" w:space="0" w:color="auto"/>
                        <w:bottom w:val="none" w:sz="0" w:space="0" w:color="auto"/>
                        <w:right w:val="none" w:sz="0" w:space="0" w:color="auto"/>
                      </w:divBdr>
                      <w:divsChild>
                        <w:div w:id="43335742">
                          <w:marLeft w:val="0"/>
                          <w:marRight w:val="0"/>
                          <w:marTop w:val="0"/>
                          <w:marBottom w:val="0"/>
                          <w:divBdr>
                            <w:top w:val="none" w:sz="0" w:space="0" w:color="auto"/>
                            <w:left w:val="none" w:sz="0" w:space="0" w:color="auto"/>
                            <w:bottom w:val="none" w:sz="0" w:space="0" w:color="auto"/>
                            <w:right w:val="none" w:sz="0" w:space="0" w:color="auto"/>
                          </w:divBdr>
                          <w:divsChild>
                            <w:div w:id="1847477176">
                              <w:marLeft w:val="0"/>
                              <w:marRight w:val="0"/>
                              <w:marTop w:val="0"/>
                              <w:marBottom w:val="0"/>
                              <w:divBdr>
                                <w:top w:val="none" w:sz="0" w:space="0" w:color="auto"/>
                                <w:left w:val="none" w:sz="0" w:space="0" w:color="auto"/>
                                <w:bottom w:val="none" w:sz="0" w:space="0" w:color="auto"/>
                                <w:right w:val="none" w:sz="0" w:space="0" w:color="auto"/>
                              </w:divBdr>
                              <w:divsChild>
                                <w:div w:id="393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2512">
      <w:bodyDiv w:val="1"/>
      <w:marLeft w:val="0"/>
      <w:marRight w:val="0"/>
      <w:marTop w:val="0"/>
      <w:marBottom w:val="0"/>
      <w:divBdr>
        <w:top w:val="none" w:sz="0" w:space="0" w:color="auto"/>
        <w:left w:val="none" w:sz="0" w:space="0" w:color="auto"/>
        <w:bottom w:val="none" w:sz="0" w:space="0" w:color="auto"/>
        <w:right w:val="none" w:sz="0" w:space="0" w:color="auto"/>
      </w:divBdr>
      <w:divsChild>
        <w:div w:id="1992824549">
          <w:marLeft w:val="0"/>
          <w:marRight w:val="0"/>
          <w:marTop w:val="150"/>
          <w:marBottom w:val="0"/>
          <w:divBdr>
            <w:top w:val="none" w:sz="0" w:space="0" w:color="auto"/>
            <w:left w:val="none" w:sz="0" w:space="0" w:color="auto"/>
            <w:bottom w:val="none" w:sz="0" w:space="0" w:color="auto"/>
            <w:right w:val="none" w:sz="0" w:space="0" w:color="auto"/>
          </w:divBdr>
          <w:divsChild>
            <w:div w:id="1598634341">
              <w:marLeft w:val="0"/>
              <w:marRight w:val="0"/>
              <w:marTop w:val="0"/>
              <w:marBottom w:val="0"/>
              <w:divBdr>
                <w:top w:val="none" w:sz="0" w:space="0" w:color="auto"/>
                <w:left w:val="none" w:sz="0" w:space="0" w:color="auto"/>
                <w:bottom w:val="none" w:sz="0" w:space="0" w:color="auto"/>
                <w:right w:val="none" w:sz="0" w:space="0" w:color="auto"/>
              </w:divBdr>
              <w:divsChild>
                <w:div w:id="657080550">
                  <w:marLeft w:val="0"/>
                  <w:marRight w:val="0"/>
                  <w:marTop w:val="0"/>
                  <w:marBottom w:val="0"/>
                  <w:divBdr>
                    <w:top w:val="none" w:sz="0" w:space="0" w:color="auto"/>
                    <w:left w:val="none" w:sz="0" w:space="0" w:color="auto"/>
                    <w:bottom w:val="none" w:sz="0" w:space="0" w:color="auto"/>
                    <w:right w:val="none" w:sz="0" w:space="0" w:color="auto"/>
                  </w:divBdr>
                  <w:divsChild>
                    <w:div w:id="8740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朱良成</dc:creator>
  <cp:keywords/>
  <dc:description/>
  <cp:lastModifiedBy>amtber</cp:lastModifiedBy>
  <cp:revision>4</cp:revision>
  <dcterms:created xsi:type="dcterms:W3CDTF">2023-04-03T00:19:00Z</dcterms:created>
  <dcterms:modified xsi:type="dcterms:W3CDTF">2023-10-12T07:23:00Z</dcterms:modified>
</cp:coreProperties>
</file>