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00" w:rsidRDefault="00085AF0" w:rsidP="00085AF0">
      <w:pPr>
        <w:tabs>
          <w:tab w:val="left" w:pos="293"/>
          <w:tab w:val="center" w:pos="4153"/>
        </w:tabs>
        <w:spacing w:line="420" w:lineRule="exact"/>
        <w:ind w:leftChars="-472" w:left="-247" w:hangingChars="310" w:hanging="744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085AF0">
        <w:rPr>
          <w:rFonts w:ascii="仿宋" w:eastAsia="仿宋" w:hAnsi="仿宋" w:cs="Times New Roman"/>
          <w:bCs/>
          <w:sz w:val="24"/>
          <w:szCs w:val="24"/>
        </w:rPr>
        <w:t>附件</w:t>
      </w:r>
      <w:r w:rsidRPr="00085AF0">
        <w:rPr>
          <w:rFonts w:ascii="仿宋" w:eastAsia="仿宋" w:hAnsi="仿宋" w:cs="Times New Roman" w:hint="eastAsia"/>
          <w:bCs/>
          <w:sz w:val="24"/>
          <w:szCs w:val="24"/>
        </w:rPr>
        <w:t>2</w:t>
      </w:r>
      <w:r w:rsidRPr="00085AF0">
        <w:rPr>
          <w:rFonts w:ascii="仿宋" w:eastAsia="仿宋" w:hAnsi="仿宋" w:cs="Times New Roman"/>
          <w:bCs/>
          <w:sz w:val="24"/>
          <w:szCs w:val="24"/>
        </w:rPr>
        <w:t>.</w:t>
      </w:r>
      <w:r w:rsidR="00C53720" w:rsidRPr="00085AF0">
        <w:rPr>
          <w:rFonts w:ascii="仿宋" w:eastAsia="仿宋" w:hAnsi="仿宋" w:cs="Times New Roman"/>
          <w:bCs/>
          <w:sz w:val="24"/>
          <w:szCs w:val="24"/>
        </w:rPr>
        <w:tab/>
      </w:r>
      <w:r w:rsidR="00C53720">
        <w:rPr>
          <w:rFonts w:ascii="仿宋" w:eastAsia="仿宋" w:hAnsi="仿宋" w:cs="Times New Roman"/>
          <w:b/>
          <w:bCs/>
          <w:sz w:val="32"/>
          <w:szCs w:val="32"/>
        </w:rPr>
        <w:tab/>
      </w:r>
      <w:r w:rsidR="00C53720">
        <w:rPr>
          <w:rFonts w:ascii="仿宋" w:eastAsia="仿宋" w:hAnsi="仿宋" w:cs="Times New Roman" w:hint="eastAsia"/>
          <w:b/>
          <w:bCs/>
          <w:sz w:val="32"/>
          <w:szCs w:val="32"/>
        </w:rPr>
        <w:t>华南农业大学本科在线教学听课表</w:t>
      </w:r>
    </w:p>
    <w:p w:rsidR="00557500" w:rsidRDefault="00557500">
      <w:pPr>
        <w:rPr>
          <w:rFonts w:ascii="仿宋" w:eastAsia="仿宋" w:hAnsi="仿宋"/>
          <w:b/>
          <w:bCs/>
          <w:iCs/>
          <w:sz w:val="24"/>
        </w:rPr>
      </w:pPr>
    </w:p>
    <w:p w:rsidR="00557500" w:rsidRDefault="00C53720">
      <w:pPr>
        <w:ind w:leftChars="-405" w:left="-72" w:hangingChars="369" w:hanging="778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b/>
          <w:bCs/>
          <w:iCs/>
          <w:szCs w:val="21"/>
        </w:rPr>
        <w:t xml:space="preserve">开课单位：    </w:t>
      </w:r>
      <w:r>
        <w:rPr>
          <w:rFonts w:ascii="仿宋" w:eastAsia="仿宋" w:hAnsi="仿宋"/>
          <w:b/>
          <w:bCs/>
          <w:iCs/>
          <w:szCs w:val="21"/>
        </w:rPr>
        <w:t xml:space="preserve">                               </w:t>
      </w:r>
      <w:r>
        <w:rPr>
          <w:rFonts w:ascii="仿宋" w:eastAsia="仿宋" w:hAnsi="仿宋" w:hint="eastAsia"/>
          <w:b/>
          <w:bCs/>
          <w:iCs/>
          <w:szCs w:val="21"/>
        </w:rPr>
        <w:t xml:space="preserve">   </w:t>
      </w:r>
      <w:r>
        <w:rPr>
          <w:rFonts w:ascii="仿宋" w:eastAsia="仿宋" w:hAnsi="仿宋" w:cs="Times New Roman" w:hint="eastAsia"/>
          <w:b/>
          <w:bCs/>
          <w:iCs/>
          <w:szCs w:val="21"/>
        </w:rPr>
        <w:t>课程名称</w:t>
      </w:r>
      <w:r>
        <w:rPr>
          <w:rFonts w:ascii="仿宋" w:eastAsia="仿宋" w:hAnsi="仿宋" w:cs="Times New Roman" w:hint="eastAsia"/>
          <w:szCs w:val="21"/>
        </w:rPr>
        <w:t>：</w:t>
      </w:r>
      <w:r>
        <w:rPr>
          <w:rFonts w:ascii="仿宋" w:eastAsia="仿宋" w:hAnsi="仿宋" w:hint="eastAsia"/>
          <w:b/>
          <w:bCs/>
          <w:iCs/>
          <w:szCs w:val="21"/>
        </w:rPr>
        <w:t xml:space="preserve">        </w:t>
      </w:r>
      <w:r>
        <w:rPr>
          <w:rFonts w:ascii="仿宋" w:eastAsia="仿宋" w:hAnsi="仿宋"/>
          <w:b/>
          <w:bCs/>
          <w:iCs/>
          <w:szCs w:val="21"/>
        </w:rPr>
        <w:t xml:space="preserve">  </w:t>
      </w:r>
      <w:r>
        <w:rPr>
          <w:rFonts w:ascii="仿宋" w:eastAsia="仿宋" w:hAnsi="仿宋" w:hint="eastAsia"/>
          <w:b/>
          <w:bCs/>
          <w:iCs/>
          <w:szCs w:val="21"/>
        </w:rPr>
        <w:t xml:space="preserve">   </w:t>
      </w:r>
      <w:r>
        <w:rPr>
          <w:rFonts w:ascii="仿宋" w:eastAsia="仿宋" w:hAnsi="仿宋"/>
          <w:b/>
          <w:bCs/>
          <w:iCs/>
          <w:szCs w:val="21"/>
        </w:rPr>
        <w:t xml:space="preserve">  </w:t>
      </w:r>
      <w:r>
        <w:rPr>
          <w:rFonts w:ascii="仿宋" w:eastAsia="仿宋" w:hAnsi="仿宋" w:hint="eastAsia"/>
          <w:b/>
          <w:bCs/>
          <w:iCs/>
          <w:szCs w:val="21"/>
        </w:rPr>
        <w:t xml:space="preserve">    </w:t>
      </w:r>
      <w:r>
        <w:rPr>
          <w:rFonts w:ascii="仿宋" w:eastAsia="仿宋" w:hAnsi="仿宋"/>
          <w:b/>
          <w:bCs/>
          <w:iCs/>
          <w:szCs w:val="21"/>
        </w:rPr>
        <w:t xml:space="preserve">  </w:t>
      </w:r>
      <w:r>
        <w:rPr>
          <w:rFonts w:ascii="仿宋" w:eastAsia="仿宋" w:hAnsi="仿宋" w:cs="Times New Roman" w:hint="eastAsia"/>
          <w:szCs w:val="21"/>
        </w:rPr>
        <w:t xml:space="preserve">　　</w:t>
      </w:r>
    </w:p>
    <w:tbl>
      <w:tblPr>
        <w:tblStyle w:val="a6"/>
        <w:tblpPr w:leftFromText="180" w:rightFromText="180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28"/>
        <w:gridCol w:w="1220"/>
        <w:gridCol w:w="1464"/>
        <w:gridCol w:w="354"/>
        <w:gridCol w:w="1207"/>
        <w:gridCol w:w="414"/>
        <w:gridCol w:w="151"/>
        <w:gridCol w:w="851"/>
        <w:gridCol w:w="569"/>
        <w:gridCol w:w="848"/>
        <w:gridCol w:w="1420"/>
        <w:gridCol w:w="1559"/>
      </w:tblGrid>
      <w:tr w:rsidR="00E31D2F" w:rsidTr="00086F6D">
        <w:trPr>
          <w:trHeight w:val="420"/>
        </w:trPr>
        <w:tc>
          <w:tcPr>
            <w:tcW w:w="1648" w:type="dxa"/>
            <w:gridSpan w:val="2"/>
            <w:vAlign w:val="center"/>
          </w:tcPr>
          <w:p w:rsidR="00E31D2F" w:rsidRDefault="00E31D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Cs w:val="21"/>
              </w:rPr>
              <w:t>任课教师</w:t>
            </w:r>
          </w:p>
        </w:tc>
        <w:tc>
          <w:tcPr>
            <w:tcW w:w="3439" w:type="dxa"/>
            <w:gridSpan w:val="4"/>
            <w:vAlign w:val="center"/>
          </w:tcPr>
          <w:p w:rsidR="00E31D2F" w:rsidRDefault="00E31D2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31D2F" w:rsidRDefault="00E31D2F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专业班级</w:t>
            </w:r>
          </w:p>
        </w:tc>
        <w:tc>
          <w:tcPr>
            <w:tcW w:w="3827" w:type="dxa"/>
            <w:gridSpan w:val="3"/>
            <w:vAlign w:val="center"/>
          </w:tcPr>
          <w:p w:rsidR="00E31D2F" w:rsidRDefault="00E31D2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57500">
        <w:trPr>
          <w:trHeight w:val="156"/>
        </w:trPr>
        <w:tc>
          <w:tcPr>
            <w:tcW w:w="1648" w:type="dxa"/>
            <w:gridSpan w:val="2"/>
            <w:vAlign w:val="center"/>
          </w:tcPr>
          <w:p w:rsidR="00557500" w:rsidRDefault="00C53720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Cs w:val="21"/>
              </w:rPr>
              <w:t>上课时间</w:t>
            </w:r>
          </w:p>
        </w:tc>
        <w:tc>
          <w:tcPr>
            <w:tcW w:w="3439" w:type="dxa"/>
            <w:gridSpan w:val="4"/>
            <w:vAlign w:val="center"/>
          </w:tcPr>
          <w:p w:rsidR="00557500" w:rsidRDefault="00C53720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年　月　日（星期　）第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-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szCs w:val="21"/>
              </w:rPr>
              <w:t>节</w:t>
            </w:r>
          </w:p>
        </w:tc>
        <w:tc>
          <w:tcPr>
            <w:tcW w:w="1571" w:type="dxa"/>
            <w:gridSpan w:val="3"/>
            <w:vAlign w:val="center"/>
          </w:tcPr>
          <w:p w:rsidR="00557500" w:rsidRDefault="00C53720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授课</w:t>
            </w:r>
            <w:r>
              <w:rPr>
                <w:rFonts w:ascii="仿宋" w:eastAsia="仿宋" w:hAnsi="仿宋"/>
                <w:szCs w:val="21"/>
              </w:rPr>
              <w:t>平台</w:t>
            </w:r>
          </w:p>
        </w:tc>
        <w:tc>
          <w:tcPr>
            <w:tcW w:w="3827" w:type="dxa"/>
            <w:gridSpan w:val="3"/>
            <w:vAlign w:val="center"/>
          </w:tcPr>
          <w:p w:rsidR="00557500" w:rsidRDefault="005575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57500">
        <w:trPr>
          <w:trHeight w:val="307"/>
        </w:trPr>
        <w:tc>
          <w:tcPr>
            <w:tcW w:w="1648" w:type="dxa"/>
            <w:gridSpan w:val="2"/>
            <w:vAlign w:val="center"/>
          </w:tcPr>
          <w:p w:rsidR="00557500" w:rsidRDefault="00C53720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听课人</w:t>
            </w:r>
          </w:p>
        </w:tc>
        <w:tc>
          <w:tcPr>
            <w:tcW w:w="1818" w:type="dxa"/>
            <w:gridSpan w:val="2"/>
            <w:vAlign w:val="center"/>
          </w:tcPr>
          <w:p w:rsidR="00557500" w:rsidRDefault="00557500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557500" w:rsidRDefault="00C53720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单位</w:t>
            </w:r>
          </w:p>
        </w:tc>
        <w:tc>
          <w:tcPr>
            <w:tcW w:w="1416" w:type="dxa"/>
            <w:gridSpan w:val="3"/>
            <w:vAlign w:val="center"/>
          </w:tcPr>
          <w:p w:rsidR="00557500" w:rsidRDefault="005575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7500" w:rsidRDefault="00C5372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职务/职称</w:t>
            </w:r>
          </w:p>
        </w:tc>
        <w:tc>
          <w:tcPr>
            <w:tcW w:w="2979" w:type="dxa"/>
            <w:gridSpan w:val="2"/>
            <w:vAlign w:val="center"/>
          </w:tcPr>
          <w:p w:rsidR="00557500" w:rsidRDefault="0055750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57500">
        <w:trPr>
          <w:trHeight w:val="205"/>
        </w:trPr>
        <w:tc>
          <w:tcPr>
            <w:tcW w:w="428" w:type="dxa"/>
          </w:tcPr>
          <w:p w:rsidR="00557500" w:rsidRDefault="0055750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评价项目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评价内容（请在符合情况对应的（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）里打“√”标记）</w:t>
            </w:r>
          </w:p>
        </w:tc>
      </w:tr>
      <w:tr w:rsidR="00557500">
        <w:trPr>
          <w:trHeight w:val="454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该门在线课程有清晰的课程描述和教学大纲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有，非常清晰且涉及信息非常充分（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有，包含基本信息（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有，但包含</w:t>
            </w:r>
            <w:r>
              <w:rPr>
                <w:rFonts w:ascii="仿宋" w:eastAsia="仿宋" w:hAnsi="仿宋"/>
                <w:sz w:val="18"/>
                <w:szCs w:val="18"/>
              </w:rPr>
              <w:t>的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信息少（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没有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737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教师准备与在线课程配套的课程讲义（或课件）能够帮助学生掌握课程内容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配套内容完善清晰，为学生掌握内容帮助非常大（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基本帮助学生掌握内容（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准备了，但帮助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度不大（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没有准备（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737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该门在线课程的课程公告信息（如课表时间、课程信息、课程资料等）完整清晰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非常完整（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基本完整（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不完整（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没有课程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公告信息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510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该门在线课程重难点说明突出，有针对性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有讲解，讲解非常清晰且过程中不断强调（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有讲解，基本清晰（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有讲解，但比较模糊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没有重难点讲解（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680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该门在线课程内容结构划分合理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划分合理，且考虑到学生在线学习接受程度（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有划分，基本合理（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有划分，但比较混乱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没有内容划分（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567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教师对在线平台的操作熟练，能够顺利开展各项教学活动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非常同意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同意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一般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不同意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737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教师能在直播或线上答疑过程中维持良好的在线课堂秩序（如弹幕、评论区/讨论区等）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2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有，教学</w:t>
            </w:r>
          </w:p>
          <w:p w:rsidR="00C53720" w:rsidRDefault="00C53720" w:rsidP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秩序良好</w:t>
            </w:r>
          </w:p>
          <w:p w:rsidR="00557500" w:rsidRDefault="00C53720" w:rsidP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2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有，教学秩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序基本维持（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有，但还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比较混乱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2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没有维持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课堂秩序（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510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该门在线课程中教师能够通过在线交流引发学生思考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 w:rsidP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能引发学生积极思考（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基本能（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能，但比较少（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没有交流（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624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课程中教师能合理安排测验、讨论、投票等互动方式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安排非常合理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安排基本合理（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安排不合理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没有互动方式（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680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教师能在疫情环境下通过该门在线课程帮学生树立正确的价值观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有，涉及内容丰富（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有，涉及比较充分（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有，但是涉及较少</w:t>
            </w:r>
          </w:p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没有涉及（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500">
        <w:trPr>
          <w:trHeight w:val="822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2684" w:type="dxa"/>
            <w:gridSpan w:val="2"/>
            <w:vAlign w:val="center"/>
          </w:tcPr>
          <w:p w:rsidR="00557500" w:rsidRDefault="00C53720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是否遵守课堂教学政治纪律</w:t>
            </w:r>
          </w:p>
        </w:tc>
        <w:tc>
          <w:tcPr>
            <w:tcW w:w="2126" w:type="dxa"/>
            <w:gridSpan w:val="4"/>
            <w:vAlign w:val="center"/>
          </w:tcPr>
          <w:p w:rsidR="00557500" w:rsidRDefault="00C53720">
            <w:pPr>
              <w:adjustRightInd w:val="0"/>
              <w:snapToGrid w:val="0"/>
              <w:spacing w:beforeLines="50" w:before="156" w:afterLines="50" w:after="156"/>
              <w:ind w:firstLineChars="300" w:firstLine="54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是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 xml:space="preserve"> ）</w:t>
            </w:r>
          </w:p>
        </w:tc>
        <w:tc>
          <w:tcPr>
            <w:tcW w:w="5247" w:type="dxa"/>
            <w:gridSpan w:val="5"/>
            <w:vAlign w:val="center"/>
          </w:tcPr>
          <w:p w:rsidR="00557500" w:rsidRDefault="00C53720" w:rsidP="00C53720">
            <w:pPr>
              <w:adjustRightInd w:val="0"/>
              <w:snapToGrid w:val="0"/>
              <w:spacing w:beforeLines="50" w:before="156" w:afterLines="50" w:after="156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 xml:space="preserve">否（ 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）若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：</w:t>
            </w:r>
          </w:p>
        </w:tc>
      </w:tr>
      <w:tr w:rsidR="00557500">
        <w:trPr>
          <w:trHeight w:val="454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2684" w:type="dxa"/>
            <w:gridSpan w:val="2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总体情况评价</w:t>
            </w:r>
          </w:p>
        </w:tc>
        <w:tc>
          <w:tcPr>
            <w:tcW w:w="2126" w:type="dxa"/>
            <w:gridSpan w:val="4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优秀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良好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合格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 xml:space="preserve">（ 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不合格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（  ）</w:t>
            </w:r>
          </w:p>
        </w:tc>
      </w:tr>
      <w:tr w:rsidR="00557500" w:rsidTr="002C5F74">
        <w:trPr>
          <w:trHeight w:val="2860"/>
        </w:trPr>
        <w:tc>
          <w:tcPr>
            <w:tcW w:w="428" w:type="dxa"/>
            <w:vAlign w:val="center"/>
          </w:tcPr>
          <w:p w:rsidR="00557500" w:rsidRDefault="00C5372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2684" w:type="dxa"/>
            <w:gridSpan w:val="2"/>
            <w:vAlign w:val="center"/>
          </w:tcPr>
          <w:p w:rsidR="00557500" w:rsidRDefault="00C53720">
            <w:pPr>
              <w:adjustRightInd w:val="0"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其他情况和建议</w:t>
            </w:r>
          </w:p>
        </w:tc>
        <w:tc>
          <w:tcPr>
            <w:tcW w:w="7373" w:type="dxa"/>
            <w:gridSpan w:val="9"/>
            <w:vAlign w:val="center"/>
          </w:tcPr>
          <w:p w:rsidR="00557500" w:rsidRDefault="0055750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557500" w:rsidRDefault="00557500" w:rsidP="00363269">
      <w:pPr>
        <w:spacing w:beforeLines="50" w:before="156"/>
        <w:ind w:leftChars="-472" w:left="412" w:rightChars="-324" w:right="-680" w:hangingChars="668" w:hanging="1403"/>
      </w:pPr>
      <w:bookmarkStart w:id="0" w:name="_GoBack"/>
      <w:bookmarkEnd w:id="0"/>
    </w:p>
    <w:sectPr w:rsidR="00557500" w:rsidSect="002C5F74">
      <w:pgSz w:w="11906" w:h="16838" w:code="9"/>
      <w:pgMar w:top="1134" w:right="153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96" w:rsidRDefault="00C27A96" w:rsidP="00085AF0">
      <w:r>
        <w:separator/>
      </w:r>
    </w:p>
  </w:endnote>
  <w:endnote w:type="continuationSeparator" w:id="0">
    <w:p w:rsidR="00C27A96" w:rsidRDefault="00C27A96" w:rsidP="000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96" w:rsidRDefault="00C27A96" w:rsidP="00085AF0">
      <w:r>
        <w:separator/>
      </w:r>
    </w:p>
  </w:footnote>
  <w:footnote w:type="continuationSeparator" w:id="0">
    <w:p w:rsidR="00C27A96" w:rsidRDefault="00C27A96" w:rsidP="0008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07"/>
    <w:rsid w:val="00037D7E"/>
    <w:rsid w:val="00051BE0"/>
    <w:rsid w:val="00051D2A"/>
    <w:rsid w:val="00065519"/>
    <w:rsid w:val="00085AF0"/>
    <w:rsid w:val="000C6541"/>
    <w:rsid w:val="000D064D"/>
    <w:rsid w:val="000E124A"/>
    <w:rsid w:val="000F3BA9"/>
    <w:rsid w:val="000F44AF"/>
    <w:rsid w:val="000F77D6"/>
    <w:rsid w:val="001D265B"/>
    <w:rsid w:val="00236D3E"/>
    <w:rsid w:val="00253CB5"/>
    <w:rsid w:val="002C5F74"/>
    <w:rsid w:val="00363269"/>
    <w:rsid w:val="00397302"/>
    <w:rsid w:val="0045300E"/>
    <w:rsid w:val="00497AE3"/>
    <w:rsid w:val="004A09A8"/>
    <w:rsid w:val="004F2F2D"/>
    <w:rsid w:val="00512444"/>
    <w:rsid w:val="00557500"/>
    <w:rsid w:val="005A7C86"/>
    <w:rsid w:val="005C36DA"/>
    <w:rsid w:val="005C5CA0"/>
    <w:rsid w:val="005E3947"/>
    <w:rsid w:val="005F0A2C"/>
    <w:rsid w:val="00604D01"/>
    <w:rsid w:val="006613E6"/>
    <w:rsid w:val="006E26B1"/>
    <w:rsid w:val="00726CB6"/>
    <w:rsid w:val="007A6BC8"/>
    <w:rsid w:val="007F509B"/>
    <w:rsid w:val="00843209"/>
    <w:rsid w:val="008448D2"/>
    <w:rsid w:val="00876DE2"/>
    <w:rsid w:val="00893DE1"/>
    <w:rsid w:val="008A6FFB"/>
    <w:rsid w:val="00987AC2"/>
    <w:rsid w:val="009B7F41"/>
    <w:rsid w:val="009D12B9"/>
    <w:rsid w:val="00A3014F"/>
    <w:rsid w:val="00A44EA8"/>
    <w:rsid w:val="00A6014B"/>
    <w:rsid w:val="00A86250"/>
    <w:rsid w:val="00AA62CD"/>
    <w:rsid w:val="00AD7948"/>
    <w:rsid w:val="00B00DE5"/>
    <w:rsid w:val="00B2551E"/>
    <w:rsid w:val="00B35561"/>
    <w:rsid w:val="00B377CE"/>
    <w:rsid w:val="00B527B5"/>
    <w:rsid w:val="00B86E30"/>
    <w:rsid w:val="00B965B2"/>
    <w:rsid w:val="00BB7AEF"/>
    <w:rsid w:val="00BE33D8"/>
    <w:rsid w:val="00BF4FB0"/>
    <w:rsid w:val="00C01979"/>
    <w:rsid w:val="00C10F23"/>
    <w:rsid w:val="00C27A96"/>
    <w:rsid w:val="00C53720"/>
    <w:rsid w:val="00C85367"/>
    <w:rsid w:val="00C95C2C"/>
    <w:rsid w:val="00C9718B"/>
    <w:rsid w:val="00CA3607"/>
    <w:rsid w:val="00D36B52"/>
    <w:rsid w:val="00D5233D"/>
    <w:rsid w:val="00D817E0"/>
    <w:rsid w:val="00DF1B13"/>
    <w:rsid w:val="00E063E7"/>
    <w:rsid w:val="00E2611C"/>
    <w:rsid w:val="00E31D2F"/>
    <w:rsid w:val="00E62CA5"/>
    <w:rsid w:val="00EC3F05"/>
    <w:rsid w:val="00F86790"/>
    <w:rsid w:val="03E06BCB"/>
    <w:rsid w:val="12F8443A"/>
    <w:rsid w:val="364E7003"/>
    <w:rsid w:val="40036A02"/>
    <w:rsid w:val="47A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2D3DA-2DA6-4B9B-8C41-49601C0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陈润华</dc:creator>
  <cp:lastModifiedBy>陈润华</cp:lastModifiedBy>
  <cp:revision>32</cp:revision>
  <cp:lastPrinted>2020-05-18T08:16:00Z</cp:lastPrinted>
  <dcterms:created xsi:type="dcterms:W3CDTF">2020-05-15T08:33:00Z</dcterms:created>
  <dcterms:modified xsi:type="dcterms:W3CDTF">2020-06-02T03:08:00Z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