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Borders>
          <w:bottom w:val="single" w:sz="18" w:space="0" w:color="FF0000"/>
        </w:tblBorders>
        <w:tblLayout w:type="fixed"/>
        <w:tblLook w:val="04A0"/>
      </w:tblPr>
      <w:tblGrid>
        <w:gridCol w:w="8845"/>
      </w:tblGrid>
      <w:tr w:rsidR="00AA04BD">
        <w:trPr>
          <w:trHeight w:val="1559"/>
          <w:jc w:val="center"/>
        </w:trPr>
        <w:tc>
          <w:tcPr>
            <w:tcW w:w="9302" w:type="dxa"/>
          </w:tcPr>
          <w:p w:rsidR="00AA04BD" w:rsidRDefault="00AA04BD">
            <w:bookmarkStart w:id="0" w:name="_GoBack"/>
            <w:bookmarkEnd w:id="0"/>
          </w:p>
        </w:tc>
      </w:tr>
      <w:tr w:rsidR="00AA04BD">
        <w:trPr>
          <w:trHeight w:hRule="exact" w:val="1134"/>
          <w:jc w:val="center"/>
        </w:trPr>
        <w:tc>
          <w:tcPr>
            <w:tcW w:w="9302" w:type="dxa"/>
          </w:tcPr>
          <w:p w:rsidR="00AA04BD" w:rsidRDefault="00FB5CD0">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AA04BD">
        <w:trPr>
          <w:trHeight w:val="1479"/>
          <w:jc w:val="center"/>
        </w:trPr>
        <w:tc>
          <w:tcPr>
            <w:tcW w:w="9302" w:type="dxa"/>
            <w:shd w:val="clear" w:color="auto" w:fill="auto"/>
          </w:tcPr>
          <w:p w:rsidR="00AA04BD" w:rsidRDefault="00AA04BD">
            <w:pPr>
              <w:spacing w:line="560" w:lineRule="exact"/>
              <w:jc w:val="center"/>
              <w:rPr>
                <w:rFonts w:ascii="仿宋_GB2312" w:eastAsia="仿宋_GB2312"/>
                <w:sz w:val="32"/>
              </w:rPr>
            </w:pPr>
          </w:p>
          <w:p w:rsidR="00AA04BD" w:rsidRDefault="00FB5CD0">
            <w:pPr>
              <w:spacing w:line="560" w:lineRule="exact"/>
              <w:jc w:val="center"/>
              <w:rPr>
                <w:rFonts w:ascii="仿宋_GB2312" w:eastAsia="仿宋_GB2312"/>
                <w:sz w:val="32"/>
              </w:rPr>
            </w:pPr>
            <w:r>
              <w:rPr>
                <w:rFonts w:ascii="仿宋" w:eastAsia="仿宋" w:hAnsi="仿宋" w:hint="eastAsia"/>
                <w:sz w:val="32"/>
                <w:szCs w:val="32"/>
              </w:rPr>
              <w:t>华南农办〔</w:t>
            </w:r>
            <w:r>
              <w:rPr>
                <w:rFonts w:ascii="Times New Roman" w:eastAsia="仿宋" w:hAnsi="Times New Roman"/>
                <w:sz w:val="32"/>
                <w:szCs w:val="32"/>
              </w:rPr>
              <w:t>2023</w:t>
            </w:r>
            <w:r>
              <w:rPr>
                <w:rFonts w:ascii="仿宋" w:eastAsia="仿宋" w:hAnsi="仿宋" w:hint="eastAsia"/>
                <w:sz w:val="32"/>
                <w:szCs w:val="32"/>
              </w:rPr>
              <w:t>〕</w:t>
            </w:r>
            <w:r>
              <w:rPr>
                <w:rFonts w:ascii="Times New Roman" w:eastAsia="仿宋" w:hAnsi="Times New Roman"/>
                <w:sz w:val="32"/>
                <w:szCs w:val="32"/>
              </w:rPr>
              <w:t>11</w:t>
            </w:r>
            <w:r>
              <w:rPr>
                <w:rFonts w:ascii="仿宋" w:eastAsia="仿宋" w:hAnsi="仿宋" w:hint="eastAsia"/>
                <w:sz w:val="32"/>
                <w:szCs w:val="32"/>
              </w:rPr>
              <w:t>号</w:t>
            </w:r>
          </w:p>
        </w:tc>
      </w:tr>
    </w:tbl>
    <w:p w:rsidR="00AA04BD" w:rsidRDefault="00AA04BD">
      <w:pPr>
        <w:jc w:val="center"/>
        <w:rPr>
          <w:rFonts w:ascii="宋体" w:hAnsi="宋体"/>
          <w:b/>
          <w:sz w:val="44"/>
          <w:szCs w:val="44"/>
        </w:rPr>
      </w:pPr>
    </w:p>
    <w:p w:rsidR="00AA04BD" w:rsidRDefault="00FB5CD0">
      <w:pPr>
        <w:spacing w:line="72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关于印发《华南农业大学本科教学工作状态评估实施办法（试行）》的通知</w:t>
      </w:r>
    </w:p>
    <w:p w:rsidR="00AA04BD" w:rsidRDefault="00AA04BD">
      <w:pPr>
        <w:rPr>
          <w:rFonts w:ascii="仿宋_GB2312" w:eastAsia="仿宋_GB2312" w:hAnsi="仿宋"/>
          <w:sz w:val="32"/>
          <w:szCs w:val="32"/>
        </w:rPr>
      </w:pPr>
    </w:p>
    <w:p w:rsidR="00AA04BD" w:rsidRDefault="00FB5CD0">
      <w:pPr>
        <w:rPr>
          <w:rFonts w:ascii="仿宋_GB2312" w:eastAsia="仿宋_GB2312" w:hAnsi="仿宋"/>
          <w:sz w:val="32"/>
          <w:szCs w:val="32"/>
        </w:rPr>
      </w:pPr>
      <w:r>
        <w:rPr>
          <w:rFonts w:ascii="仿宋_GB2312" w:eastAsia="仿宋_GB2312" w:hAnsi="仿宋" w:hint="eastAsia"/>
          <w:sz w:val="32"/>
          <w:szCs w:val="32"/>
        </w:rPr>
        <w:t>各学院、部处、各单位：</w:t>
      </w:r>
    </w:p>
    <w:p w:rsidR="00AA04BD" w:rsidRDefault="00FB5CD0">
      <w:pPr>
        <w:ind w:firstLineChars="221" w:firstLine="707"/>
        <w:rPr>
          <w:rFonts w:ascii="仿宋_GB2312" w:eastAsia="仿宋_GB2312" w:hAnsi="仿宋"/>
          <w:sz w:val="32"/>
          <w:szCs w:val="32"/>
        </w:rPr>
      </w:pPr>
      <w:r>
        <w:rPr>
          <w:rFonts w:ascii="仿宋_GB2312" w:eastAsia="仿宋_GB2312" w:hAnsi="仿宋" w:hint="eastAsia"/>
          <w:sz w:val="32"/>
          <w:szCs w:val="32"/>
        </w:rPr>
        <w:t>《华南农业大学本科教学工作状态评估实施办法（试行）》已经学校</w:t>
      </w:r>
      <w:r>
        <w:rPr>
          <w:rFonts w:ascii="Times New Roman" w:eastAsia="仿宋_GB2312" w:hAnsi="Times New Roman"/>
          <w:sz w:val="32"/>
          <w:szCs w:val="32"/>
        </w:rPr>
        <w:t>2023</w:t>
      </w:r>
      <w:r>
        <w:rPr>
          <w:rFonts w:ascii="仿宋_GB2312" w:eastAsia="仿宋_GB2312" w:hAnsi="仿宋" w:hint="eastAsia"/>
          <w:sz w:val="32"/>
          <w:szCs w:val="32"/>
        </w:rPr>
        <w:t>年第</w:t>
      </w:r>
      <w:r>
        <w:rPr>
          <w:rFonts w:ascii="Times New Roman" w:eastAsia="仿宋_GB2312" w:hAnsi="Times New Roman"/>
          <w:sz w:val="32"/>
          <w:szCs w:val="32"/>
        </w:rPr>
        <w:t>1</w:t>
      </w:r>
      <w:r>
        <w:rPr>
          <w:rFonts w:ascii="仿宋_GB2312" w:eastAsia="仿宋_GB2312" w:hAnsi="仿宋" w:hint="eastAsia"/>
          <w:sz w:val="32"/>
          <w:szCs w:val="32"/>
        </w:rPr>
        <w:t>次校长办公会议讨论通过，现予印发，请遵照执行。</w:t>
      </w:r>
    </w:p>
    <w:p w:rsidR="00AA04BD" w:rsidRDefault="00AA04BD">
      <w:pPr>
        <w:ind w:firstLineChars="221" w:firstLine="707"/>
        <w:rPr>
          <w:rFonts w:ascii="仿宋_GB2312" w:eastAsia="仿宋_GB2312" w:hAnsi="仿宋"/>
          <w:sz w:val="32"/>
          <w:szCs w:val="32"/>
        </w:rPr>
      </w:pPr>
    </w:p>
    <w:p w:rsidR="00AA04BD" w:rsidRDefault="00AA04BD">
      <w:pPr>
        <w:ind w:firstLineChars="221" w:firstLine="707"/>
        <w:rPr>
          <w:rFonts w:ascii="仿宋_GB2312" w:eastAsia="仿宋_GB2312" w:hAnsi="仿宋"/>
          <w:sz w:val="32"/>
          <w:szCs w:val="32"/>
        </w:rPr>
      </w:pPr>
    </w:p>
    <w:p w:rsidR="00AA04BD" w:rsidRDefault="00FB5CD0">
      <w:pPr>
        <w:ind w:firstLineChars="221" w:firstLine="707"/>
        <w:rPr>
          <w:rFonts w:ascii="仿宋_GB2312" w:eastAsia="仿宋_GB2312" w:hAnsi="仿宋"/>
          <w:sz w:val="32"/>
          <w:szCs w:val="32"/>
        </w:rPr>
      </w:pPr>
      <w:r>
        <w:rPr>
          <w:rFonts w:ascii="仿宋_GB2312" w:eastAsia="仿宋_GB2312" w:hAnsi="仿宋" w:hint="eastAsia"/>
          <w:sz w:val="32"/>
          <w:szCs w:val="32"/>
        </w:rPr>
        <w:t xml:space="preserve">                            华南农业大学</w:t>
      </w:r>
    </w:p>
    <w:p w:rsidR="00AA04BD" w:rsidRDefault="00FB5CD0">
      <w:pPr>
        <w:ind w:firstLineChars="177" w:firstLine="566"/>
        <w:rPr>
          <w:rFonts w:ascii="仿宋_GB2312" w:eastAsia="仿宋_GB2312" w:hAnsi="仿宋"/>
          <w:sz w:val="32"/>
          <w:szCs w:val="32"/>
        </w:rPr>
      </w:pPr>
      <w:r>
        <w:rPr>
          <w:rFonts w:ascii="仿宋_GB2312" w:eastAsia="仿宋_GB2312" w:hAnsi="仿宋" w:hint="eastAsia"/>
          <w:sz w:val="32"/>
          <w:szCs w:val="32"/>
        </w:rPr>
        <w:t xml:space="preserve">                           </w:t>
      </w:r>
      <w:r>
        <w:rPr>
          <w:rFonts w:ascii="Times New Roman" w:eastAsia="仿宋_GB2312" w:hAnsi="Times New Roman"/>
          <w:sz w:val="32"/>
          <w:szCs w:val="32"/>
        </w:rPr>
        <w:t>2023</w:t>
      </w:r>
      <w:r>
        <w:rPr>
          <w:rFonts w:ascii="仿宋_GB2312" w:eastAsia="仿宋_GB2312" w:hAnsi="仿宋" w:hint="eastAsia"/>
          <w:sz w:val="32"/>
          <w:szCs w:val="32"/>
        </w:rPr>
        <w:t>年</w:t>
      </w:r>
      <w:r>
        <w:rPr>
          <w:rFonts w:ascii="Times New Roman" w:eastAsia="仿宋_GB2312" w:hAnsi="Times New Roman"/>
          <w:sz w:val="32"/>
          <w:szCs w:val="32"/>
        </w:rPr>
        <w:t>1</w:t>
      </w:r>
      <w:r>
        <w:rPr>
          <w:rFonts w:ascii="仿宋_GB2312" w:eastAsia="仿宋_GB2312" w:hAnsi="仿宋" w:hint="eastAsia"/>
          <w:sz w:val="32"/>
          <w:szCs w:val="32"/>
        </w:rPr>
        <w:t>月</w:t>
      </w:r>
      <w:r>
        <w:rPr>
          <w:rFonts w:ascii="Times New Roman" w:eastAsia="仿宋_GB2312" w:hAnsi="Times New Roman"/>
          <w:sz w:val="32"/>
          <w:szCs w:val="32"/>
        </w:rPr>
        <w:t>12</w:t>
      </w:r>
      <w:r>
        <w:rPr>
          <w:rFonts w:ascii="仿宋_GB2312" w:eastAsia="仿宋_GB2312" w:hAnsi="仿宋" w:hint="eastAsia"/>
          <w:sz w:val="32"/>
          <w:szCs w:val="32"/>
        </w:rPr>
        <w:t>日</w:t>
      </w:r>
    </w:p>
    <w:p w:rsidR="00AA04BD" w:rsidRDefault="00AA04BD"/>
    <w:p w:rsidR="00AA04BD" w:rsidRDefault="00AA04BD">
      <w:pPr>
        <w:jc w:val="center"/>
        <w:rPr>
          <w:rFonts w:ascii="宋体" w:hAnsi="宋体"/>
          <w:b/>
          <w:sz w:val="44"/>
          <w:szCs w:val="44"/>
        </w:rPr>
      </w:pPr>
    </w:p>
    <w:p w:rsidR="00AA04BD" w:rsidRDefault="00FB5CD0">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华南农业大学本科教学工作状态评估</w:t>
      </w:r>
    </w:p>
    <w:p w:rsidR="00AA04BD" w:rsidRDefault="00FB5CD0">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实施办法（试行）</w:t>
      </w:r>
    </w:p>
    <w:p w:rsidR="00AA04BD" w:rsidRDefault="00AA04BD">
      <w:pPr>
        <w:spacing w:line="440" w:lineRule="exact"/>
        <w:rPr>
          <w:b/>
          <w:sz w:val="24"/>
          <w:szCs w:val="24"/>
        </w:rPr>
      </w:pPr>
    </w:p>
    <w:p w:rsidR="00AA04BD" w:rsidRDefault="00FB5CD0" w:rsidP="00975C52">
      <w:pPr>
        <w:spacing w:beforeLines="100" w:afterLines="100" w:line="540" w:lineRule="exact"/>
        <w:jc w:val="center"/>
        <w:rPr>
          <w:rFonts w:ascii="黑体" w:eastAsia="黑体" w:hAnsi="黑体"/>
          <w:sz w:val="32"/>
          <w:szCs w:val="32"/>
        </w:rPr>
      </w:pPr>
      <w:r>
        <w:rPr>
          <w:rFonts w:ascii="黑体" w:eastAsia="黑体" w:hAnsi="黑体" w:hint="eastAsia"/>
          <w:sz w:val="32"/>
          <w:szCs w:val="32"/>
        </w:rPr>
        <w:t>第一章  总  则</w:t>
      </w:r>
    </w:p>
    <w:p w:rsidR="00AA04BD" w:rsidRDefault="00FB5CD0" w:rsidP="00155E36">
      <w:pPr>
        <w:widowControl/>
        <w:snapToGrid w:val="0"/>
        <w:spacing w:line="54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hint="eastAsia"/>
          <w:sz w:val="32"/>
          <w:szCs w:val="32"/>
        </w:rPr>
        <w:t xml:space="preserve">  为深入贯彻《深化新时代教育评价改革总体方案》《教育部关于加快建设高水平本科教育全面提高人才培养能力的意见》（教高〔</w:t>
      </w:r>
      <w:r>
        <w:rPr>
          <w:rFonts w:ascii="Times New Roman" w:eastAsia="仿宋_GB2312" w:hAnsi="Times New Roman"/>
          <w:sz w:val="32"/>
          <w:szCs w:val="32"/>
        </w:rPr>
        <w:t>2018</w:t>
      </w:r>
      <w:r>
        <w:rPr>
          <w:rFonts w:ascii="仿宋_GB2312" w:eastAsia="仿宋_GB2312" w:hAnsi="仿宋" w:hint="eastAsia"/>
          <w:sz w:val="32"/>
          <w:szCs w:val="32"/>
        </w:rPr>
        <w:t>〕</w:t>
      </w:r>
      <w:r>
        <w:rPr>
          <w:rFonts w:ascii="Times New Roman" w:eastAsia="仿宋_GB2312" w:hAnsi="Times New Roman"/>
          <w:sz w:val="32"/>
          <w:szCs w:val="32"/>
        </w:rPr>
        <w:t>2</w:t>
      </w:r>
      <w:r>
        <w:rPr>
          <w:rFonts w:ascii="仿宋_GB2312" w:eastAsia="仿宋_GB2312" w:hAnsi="仿宋" w:hint="eastAsia"/>
          <w:sz w:val="32"/>
          <w:szCs w:val="32"/>
        </w:rPr>
        <w:t>号）以及《华南农业大学创建一流本科教育体系行动方案（</w:t>
      </w:r>
      <w:r>
        <w:rPr>
          <w:rFonts w:ascii="Times New Roman" w:eastAsia="仿宋_GB2312" w:hAnsi="Times New Roman"/>
          <w:sz w:val="32"/>
          <w:szCs w:val="32"/>
        </w:rPr>
        <w:t>2022</w:t>
      </w:r>
      <w:r>
        <w:rPr>
          <w:rFonts w:ascii="仿宋_GB2312" w:eastAsia="仿宋_GB2312" w:hAnsi="仿宋" w:hint="eastAsia"/>
          <w:sz w:val="32"/>
          <w:szCs w:val="32"/>
        </w:rPr>
        <w:t>-</w:t>
      </w:r>
      <w:r>
        <w:rPr>
          <w:rFonts w:ascii="Times New Roman" w:eastAsia="仿宋_GB2312" w:hAnsi="Times New Roman"/>
          <w:sz w:val="32"/>
          <w:szCs w:val="32"/>
        </w:rPr>
        <w:t>2025</w:t>
      </w:r>
      <w:r>
        <w:rPr>
          <w:rFonts w:ascii="仿宋_GB2312" w:eastAsia="仿宋_GB2312" w:hAnsi="仿宋" w:hint="eastAsia"/>
          <w:sz w:val="32"/>
          <w:szCs w:val="32"/>
        </w:rPr>
        <w:t>）》（华南农办〔</w:t>
      </w:r>
      <w:r>
        <w:rPr>
          <w:rFonts w:ascii="Times New Roman" w:eastAsia="仿宋_GB2312" w:hAnsi="Times New Roman"/>
          <w:sz w:val="32"/>
          <w:szCs w:val="32"/>
        </w:rPr>
        <w:t>2023</w:t>
      </w:r>
      <w:r>
        <w:rPr>
          <w:rFonts w:ascii="仿宋_GB2312" w:eastAsia="仿宋_GB2312" w:hAnsi="仿宋" w:hint="eastAsia"/>
          <w:sz w:val="32"/>
          <w:szCs w:val="32"/>
        </w:rPr>
        <w:t>〕</w:t>
      </w:r>
      <w:r>
        <w:rPr>
          <w:rFonts w:ascii="Times New Roman" w:eastAsia="仿宋_GB2312" w:hAnsi="Times New Roman"/>
          <w:sz w:val="32"/>
          <w:szCs w:val="32"/>
        </w:rPr>
        <w:t>10</w:t>
      </w:r>
      <w:r>
        <w:rPr>
          <w:rFonts w:ascii="仿宋_GB2312" w:eastAsia="仿宋_GB2312" w:hAnsi="仿宋" w:hint="eastAsia"/>
          <w:sz w:val="32"/>
          <w:szCs w:val="32"/>
        </w:rPr>
        <w:t>号）等精神，</w:t>
      </w:r>
      <w:r>
        <w:rPr>
          <w:rFonts w:ascii="仿宋_GB2312" w:eastAsia="仿宋_GB2312" w:hAnsi="仿宋" w:cs="宋体" w:hint="eastAsia"/>
          <w:kern w:val="0"/>
          <w:sz w:val="32"/>
          <w:szCs w:val="32"/>
        </w:rPr>
        <w:t>切实落实“以本为本”，推进“四个回归”，</w:t>
      </w:r>
      <w:r>
        <w:rPr>
          <w:rFonts w:ascii="仿宋_GB2312" w:eastAsia="仿宋_GB2312" w:hAnsi="仿宋" w:hint="eastAsia"/>
          <w:sz w:val="32"/>
          <w:szCs w:val="32"/>
        </w:rPr>
        <w:t>强化本科教育的核心地位，</w:t>
      </w:r>
      <w:r>
        <w:rPr>
          <w:rFonts w:ascii="仿宋_GB2312" w:eastAsia="仿宋_GB2312" w:hAnsi="仿宋" w:cs="宋体" w:hint="eastAsia"/>
          <w:kern w:val="0"/>
          <w:sz w:val="32"/>
          <w:szCs w:val="32"/>
        </w:rPr>
        <w:t>充分调动学院（教学部）加强本科教育教学工作的主动性和积极性，</w:t>
      </w:r>
      <w:r>
        <w:rPr>
          <w:rFonts w:ascii="仿宋_GB2312" w:eastAsia="仿宋_GB2312" w:hAnsi="仿宋" w:hint="eastAsia"/>
          <w:sz w:val="32"/>
          <w:szCs w:val="32"/>
        </w:rPr>
        <w:t>全面提高本科</w:t>
      </w:r>
      <w:r>
        <w:rPr>
          <w:rFonts w:ascii="仿宋_GB2312" w:eastAsia="仿宋_GB2312" w:hAnsi="仿宋" w:cs="宋体" w:hint="eastAsia"/>
          <w:kern w:val="0"/>
          <w:sz w:val="32"/>
          <w:szCs w:val="32"/>
        </w:rPr>
        <w:t>人才培养质量，培养一流本科人才，</w:t>
      </w:r>
      <w:r>
        <w:rPr>
          <w:rFonts w:ascii="仿宋_GB2312" w:eastAsia="仿宋_GB2312" w:hAnsi="仿宋" w:hint="eastAsia"/>
          <w:sz w:val="32"/>
          <w:szCs w:val="32"/>
        </w:rPr>
        <w:t>结合学校实际，特制定本办法。</w:t>
      </w:r>
    </w:p>
    <w:p w:rsidR="00AA04BD" w:rsidRDefault="00FB5CD0" w:rsidP="00155E36">
      <w:pPr>
        <w:spacing w:line="54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hint="eastAsia"/>
          <w:sz w:val="32"/>
          <w:szCs w:val="32"/>
        </w:rPr>
        <w:t xml:space="preserve">  本科教学工作状态评估（下称“状态评估”）遵循“以评促建、以评促改、以评促管、持续改进”的指导方针，</w:t>
      </w:r>
      <w:r>
        <w:rPr>
          <w:rFonts w:ascii="仿宋_GB2312" w:eastAsia="仿宋_GB2312" w:hAnsi="仿宋" w:hint="eastAsia"/>
          <w:sz w:val="32"/>
          <w:szCs w:val="32"/>
          <w:shd w:val="clear" w:color="auto" w:fill="FFFFFF"/>
        </w:rPr>
        <w:t>推动各学院（教学部）积极构建自觉、自省、自律、自查、自纠的大学质量文化，将质量意识、质量标准、质量评价、质量管理等落实到教育教学各环节，内化为师生的共同价值追求和自觉行动，</w:t>
      </w:r>
      <w:r>
        <w:rPr>
          <w:rFonts w:ascii="仿宋_GB2312" w:eastAsia="仿宋_GB2312" w:hAnsi="仿宋" w:hint="eastAsia"/>
          <w:sz w:val="32"/>
          <w:szCs w:val="32"/>
        </w:rPr>
        <w:t>逐步形成自我约束、自我完善、自我发展的机制，不断提高本科人才培养质量。</w:t>
      </w:r>
    </w:p>
    <w:p w:rsidR="00AA04BD" w:rsidRDefault="00FB5CD0" w:rsidP="00155E36">
      <w:pPr>
        <w:spacing w:line="540" w:lineRule="exact"/>
        <w:ind w:firstLineChars="200" w:firstLine="641"/>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hint="eastAsia"/>
          <w:sz w:val="32"/>
          <w:szCs w:val="32"/>
        </w:rPr>
        <w:t xml:space="preserve">  状态评估以工作实绩为主导，坚持“客观、公平、公正、公开”的评估原则，实行定量评价和定性评价相结合的方式，引入激励机制，</w:t>
      </w:r>
      <w:r>
        <w:rPr>
          <w:rFonts w:ascii="仿宋_GB2312" w:eastAsia="仿宋_GB2312" w:hAnsi="仿宋" w:hint="eastAsia"/>
          <w:sz w:val="32"/>
          <w:szCs w:val="32"/>
          <w:shd w:val="clear" w:color="auto" w:fill="FFFFFF"/>
        </w:rPr>
        <w:t>不断提高评估的科学性、专业性、</w:t>
      </w:r>
      <w:r>
        <w:rPr>
          <w:rFonts w:ascii="仿宋_GB2312" w:eastAsia="仿宋_GB2312" w:hAnsi="仿宋" w:hint="eastAsia"/>
          <w:sz w:val="32"/>
          <w:szCs w:val="32"/>
          <w:shd w:val="clear" w:color="auto" w:fill="FFFFFF"/>
        </w:rPr>
        <w:lastRenderedPageBreak/>
        <w:t>客观性，不断</w:t>
      </w:r>
      <w:r>
        <w:rPr>
          <w:rFonts w:ascii="仿宋_GB2312" w:eastAsia="仿宋_GB2312" w:hAnsi="仿宋" w:hint="eastAsia"/>
          <w:sz w:val="32"/>
          <w:szCs w:val="32"/>
        </w:rPr>
        <w:t>加强学院（教学部）本科教育教学工作的规范化、制度化和科学化。</w:t>
      </w:r>
    </w:p>
    <w:p w:rsidR="00AA04BD" w:rsidRDefault="00FB5CD0" w:rsidP="00975C52">
      <w:pPr>
        <w:spacing w:beforeLines="100" w:afterLines="100" w:line="540" w:lineRule="exact"/>
        <w:jc w:val="center"/>
        <w:rPr>
          <w:rFonts w:ascii="黑体" w:eastAsia="黑体" w:hAnsi="黑体"/>
          <w:bCs/>
          <w:sz w:val="32"/>
          <w:szCs w:val="32"/>
        </w:rPr>
      </w:pPr>
      <w:r>
        <w:rPr>
          <w:rFonts w:ascii="黑体" w:eastAsia="黑体" w:hAnsi="黑体" w:hint="eastAsia"/>
          <w:sz w:val="32"/>
          <w:szCs w:val="32"/>
        </w:rPr>
        <w:t>第二章</w:t>
      </w:r>
      <w:r>
        <w:rPr>
          <w:rFonts w:ascii="黑体" w:eastAsia="黑体" w:hAnsi="黑体" w:hint="eastAsia"/>
          <w:bCs/>
          <w:sz w:val="32"/>
          <w:szCs w:val="32"/>
        </w:rPr>
        <w:t xml:space="preserve">  评估组织机构</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第四条</w:t>
      </w:r>
      <w:r>
        <w:rPr>
          <w:rFonts w:ascii="仿宋_GB2312" w:eastAsia="仿宋_GB2312" w:hAnsi="仿宋" w:hint="eastAsia"/>
          <w:bCs/>
          <w:sz w:val="32"/>
          <w:szCs w:val="32"/>
        </w:rPr>
        <w:t xml:space="preserve">  学校成立状态评估工作领导小组，组长由分管本科教学工作的校领导担任，副组长由本科生院院长担任，成员由</w:t>
      </w:r>
      <w:r>
        <w:rPr>
          <w:rFonts w:ascii="仿宋_GB2312" w:eastAsia="仿宋_GB2312" w:hAnsi="仿宋" w:hint="eastAsia"/>
          <w:bCs/>
          <w:spacing w:val="-4"/>
          <w:sz w:val="32"/>
          <w:szCs w:val="32"/>
        </w:rPr>
        <w:t>党委学生工作部（党委研究生工作部）、党委教师工作部、人力资源处和发展规划处等相关单位负责人组成</w:t>
      </w:r>
      <w:r>
        <w:rPr>
          <w:rFonts w:ascii="仿宋_GB2312" w:eastAsia="仿宋_GB2312" w:hAnsi="仿宋" w:hint="eastAsia"/>
          <w:bCs/>
          <w:sz w:val="32"/>
          <w:szCs w:val="32"/>
        </w:rPr>
        <w:t>。负责统筹指导状态评估工作，审定年度状态评估指标体系和评估结果。</w:t>
      </w:r>
    </w:p>
    <w:p w:rsidR="00AA04BD" w:rsidRDefault="00FB5CD0">
      <w:pPr>
        <w:spacing w:line="540" w:lineRule="exact"/>
        <w:ind w:firstLineChars="200" w:firstLine="640"/>
        <w:rPr>
          <w:rFonts w:ascii="仿宋_GB2312" w:eastAsia="仿宋_GB2312" w:hAnsi="仿宋"/>
          <w:bCs/>
          <w:color w:val="FF0000"/>
          <w:sz w:val="32"/>
          <w:szCs w:val="32"/>
        </w:rPr>
      </w:pPr>
      <w:r>
        <w:rPr>
          <w:rFonts w:ascii="仿宋_GB2312" w:eastAsia="仿宋_GB2312" w:hAnsi="仿宋" w:hint="eastAsia"/>
          <w:bCs/>
          <w:sz w:val="32"/>
          <w:szCs w:val="32"/>
        </w:rPr>
        <w:t>领导小组下设办公室，挂靠本科生院，办公室主任由本科生院分管状态评估工作的负责人担任，成员由</w:t>
      </w:r>
      <w:r>
        <w:rPr>
          <w:rFonts w:ascii="仿宋_GB2312" w:eastAsia="仿宋_GB2312" w:hAnsi="仿宋" w:hint="eastAsia"/>
          <w:bCs/>
          <w:spacing w:val="-4"/>
          <w:sz w:val="32"/>
          <w:szCs w:val="32"/>
        </w:rPr>
        <w:t>党委学生工作部（党委研究生工作部）、党委教师工作部、人力资源处和本科生院等相关工作人员组成，具体</w:t>
      </w:r>
      <w:r>
        <w:rPr>
          <w:rFonts w:ascii="仿宋_GB2312" w:eastAsia="仿宋_GB2312" w:hAnsi="仿宋" w:hint="eastAsia"/>
          <w:bCs/>
          <w:sz w:val="32"/>
          <w:szCs w:val="32"/>
        </w:rPr>
        <w:t>负责状态评估工作的组织实施和日常工作。</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第五条</w:t>
      </w:r>
      <w:r>
        <w:rPr>
          <w:rFonts w:ascii="仿宋_GB2312" w:eastAsia="仿宋_GB2312" w:hAnsi="仿宋" w:hint="eastAsia"/>
          <w:bCs/>
          <w:sz w:val="32"/>
          <w:szCs w:val="32"/>
        </w:rPr>
        <w:t xml:space="preserve">  学院（教学部）成立状态评估工作小组，负责按照评估要求及时提供评估材料，针对存在的问题提出整改措施并组织实施。</w:t>
      </w:r>
    </w:p>
    <w:p w:rsidR="00AA04BD" w:rsidRDefault="00FB5CD0" w:rsidP="00975C52">
      <w:pPr>
        <w:spacing w:beforeLines="100" w:afterLines="100" w:line="540" w:lineRule="exact"/>
        <w:jc w:val="center"/>
        <w:rPr>
          <w:rFonts w:ascii="黑体" w:eastAsia="黑体" w:hAnsi="黑体"/>
          <w:sz w:val="32"/>
          <w:szCs w:val="32"/>
        </w:rPr>
      </w:pPr>
      <w:r>
        <w:rPr>
          <w:rFonts w:ascii="黑体" w:eastAsia="黑体" w:hAnsi="黑体" w:hint="eastAsia"/>
          <w:sz w:val="32"/>
          <w:szCs w:val="32"/>
        </w:rPr>
        <w:t>第三章  评估内容</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第六条</w:t>
      </w:r>
      <w:r>
        <w:rPr>
          <w:rFonts w:ascii="仿宋_GB2312" w:eastAsia="仿宋_GB2312" w:hAnsi="仿宋" w:hint="eastAsia"/>
          <w:bCs/>
          <w:sz w:val="32"/>
          <w:szCs w:val="32"/>
        </w:rPr>
        <w:t xml:space="preserve">  状态评估主要评估学院（教学部）教学</w:t>
      </w:r>
      <w:r>
        <w:rPr>
          <w:rFonts w:ascii="仿宋_GB2312" w:eastAsia="仿宋_GB2312" w:hAnsi="仿宋" w:cs="宋体" w:hint="eastAsia"/>
          <w:kern w:val="0"/>
          <w:sz w:val="32"/>
          <w:szCs w:val="32"/>
        </w:rPr>
        <w:t>运行状态和教学业绩两部分。</w:t>
      </w:r>
      <w:r>
        <w:rPr>
          <w:rFonts w:ascii="仿宋_GB2312" w:eastAsia="仿宋_GB2312" w:hAnsi="仿宋" w:hint="eastAsia"/>
          <w:bCs/>
          <w:sz w:val="32"/>
          <w:szCs w:val="32"/>
        </w:rPr>
        <w:t>重点在于评估学院（教学部）在本科教育教学中各项制度的执行情况、取得的教学业绩和人才培养质量。</w:t>
      </w:r>
    </w:p>
    <w:p w:rsidR="00AA04BD" w:rsidRDefault="00FB5CD0" w:rsidP="00155E36">
      <w:pPr>
        <w:spacing w:line="540" w:lineRule="exact"/>
        <w:ind w:firstLineChars="200" w:firstLine="641"/>
        <w:rPr>
          <w:rFonts w:ascii="仿宋_GB2312" w:eastAsia="仿宋_GB2312" w:hAnsi="仿宋"/>
          <w:color w:val="000000"/>
          <w:sz w:val="32"/>
          <w:szCs w:val="32"/>
          <w:highlight w:val="yellow"/>
        </w:rPr>
      </w:pPr>
      <w:r>
        <w:rPr>
          <w:rFonts w:ascii="仿宋_GB2312" w:eastAsia="仿宋_GB2312" w:hAnsi="仿宋" w:hint="eastAsia"/>
          <w:b/>
          <w:sz w:val="32"/>
          <w:szCs w:val="32"/>
        </w:rPr>
        <w:t>第七条</w:t>
      </w:r>
      <w:r>
        <w:rPr>
          <w:rFonts w:ascii="仿宋_GB2312" w:eastAsia="仿宋_GB2312" w:hAnsi="仿宋" w:hint="eastAsia"/>
          <w:bCs/>
          <w:sz w:val="32"/>
          <w:szCs w:val="32"/>
        </w:rPr>
        <w:t xml:space="preserve">  教学运行状态包括教学管理、教学建设与教学研</w:t>
      </w:r>
      <w:r>
        <w:rPr>
          <w:rFonts w:ascii="仿宋_GB2312" w:eastAsia="仿宋_GB2312" w:hAnsi="仿宋" w:hint="eastAsia"/>
          <w:bCs/>
          <w:sz w:val="32"/>
          <w:szCs w:val="32"/>
        </w:rPr>
        <w:lastRenderedPageBreak/>
        <w:t>究、教师发展与教学投入、质量保障和人才培养质量等；教学业绩主要是指在教学成果、专业建设、课程建设、教材建设、教学竞赛、教学名师培育、学科竞赛等方面取得的成绩</w:t>
      </w:r>
      <w:r>
        <w:rPr>
          <w:rFonts w:ascii="仿宋_GB2312" w:eastAsia="仿宋_GB2312" w:hAnsi="仿宋" w:hint="eastAsia"/>
          <w:bCs/>
          <w:color w:val="000000"/>
          <w:sz w:val="32"/>
          <w:szCs w:val="32"/>
        </w:rPr>
        <w:t>。状态评估指标、指标分值和评分标准详见《华南农业大学学院（教学部）本科教学工作状态评估指标体系》（附件）。</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第八条</w:t>
      </w:r>
      <w:r>
        <w:rPr>
          <w:rFonts w:ascii="仿宋_GB2312" w:eastAsia="仿宋_GB2312" w:hAnsi="仿宋" w:cs="宋体" w:hint="eastAsia"/>
          <w:kern w:val="0"/>
          <w:sz w:val="32"/>
          <w:szCs w:val="32"/>
        </w:rPr>
        <w:t xml:space="preserve">  状态评估领导小组可根据状态评估情况以及学校教学工作重点等的变化对状态评估指标、</w:t>
      </w:r>
      <w:r>
        <w:rPr>
          <w:rFonts w:ascii="仿宋_GB2312" w:eastAsia="仿宋_GB2312" w:hAnsi="仿宋" w:cs="宋体" w:hint="eastAsia"/>
          <w:color w:val="000000"/>
          <w:kern w:val="0"/>
          <w:sz w:val="32"/>
          <w:szCs w:val="32"/>
        </w:rPr>
        <w:t>指标分值和评分标准</w:t>
      </w:r>
      <w:r>
        <w:rPr>
          <w:rFonts w:ascii="仿宋_GB2312" w:eastAsia="仿宋_GB2312" w:hAnsi="仿宋" w:hint="eastAsia"/>
          <w:bCs/>
          <w:sz w:val="32"/>
          <w:szCs w:val="32"/>
        </w:rPr>
        <w:t>进行动态调整</w:t>
      </w:r>
      <w:r>
        <w:rPr>
          <w:rFonts w:ascii="仿宋_GB2312" w:eastAsia="仿宋_GB2312" w:hAnsi="仿宋" w:hint="eastAsia"/>
          <w:sz w:val="32"/>
          <w:szCs w:val="32"/>
        </w:rPr>
        <w:t>。</w:t>
      </w:r>
    </w:p>
    <w:p w:rsidR="00AA04BD" w:rsidRDefault="00FB5CD0" w:rsidP="00975C52">
      <w:pPr>
        <w:spacing w:beforeLines="100" w:afterLines="100" w:line="540" w:lineRule="exact"/>
        <w:jc w:val="center"/>
        <w:rPr>
          <w:rFonts w:ascii="黑体" w:eastAsia="黑体" w:hAnsi="黑体"/>
          <w:sz w:val="32"/>
          <w:szCs w:val="32"/>
        </w:rPr>
      </w:pPr>
      <w:r>
        <w:rPr>
          <w:rFonts w:ascii="黑体" w:eastAsia="黑体" w:hAnsi="黑体" w:hint="eastAsia"/>
          <w:sz w:val="32"/>
          <w:szCs w:val="32"/>
        </w:rPr>
        <w:t>第四章  评估程序</w:t>
      </w:r>
    </w:p>
    <w:p w:rsidR="00AA04BD" w:rsidRDefault="00FB5CD0" w:rsidP="00155E36">
      <w:pPr>
        <w:spacing w:line="540" w:lineRule="exact"/>
        <w:ind w:firstLineChars="200" w:firstLine="641"/>
        <w:rPr>
          <w:rFonts w:ascii="仿宋_GB2312" w:eastAsia="仿宋_GB2312" w:hAnsi="仿宋"/>
          <w:b/>
          <w:bCs/>
          <w:sz w:val="32"/>
          <w:szCs w:val="32"/>
        </w:rPr>
      </w:pPr>
      <w:r>
        <w:rPr>
          <w:rFonts w:ascii="仿宋_GB2312" w:eastAsia="仿宋_GB2312" w:hAnsi="仿宋" w:hint="eastAsia"/>
          <w:b/>
          <w:sz w:val="32"/>
          <w:szCs w:val="32"/>
        </w:rPr>
        <w:t>第九条</w:t>
      </w:r>
      <w:r>
        <w:rPr>
          <w:rFonts w:ascii="仿宋_GB2312" w:eastAsia="仿宋_GB2312" w:hAnsi="仿宋" w:hint="eastAsia"/>
          <w:bCs/>
          <w:sz w:val="32"/>
          <w:szCs w:val="32"/>
        </w:rPr>
        <w:t xml:space="preserve"> 学校每年对各学院（教学部）进行状态评估，主要包括以下程序：</w:t>
      </w:r>
    </w:p>
    <w:p w:rsidR="00AA04BD" w:rsidRDefault="00FB5CD0">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（一）学校每年下半年发布开展当年度状态评估工作通知。</w:t>
      </w:r>
    </w:p>
    <w:p w:rsidR="00AA04BD" w:rsidRDefault="00FB5CD0">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w:t>
      </w:r>
      <w:r>
        <w:rPr>
          <w:rFonts w:ascii="仿宋_GB2312" w:eastAsia="仿宋_GB2312" w:hAnsi="仿宋" w:hint="eastAsia"/>
          <w:sz w:val="32"/>
          <w:szCs w:val="32"/>
        </w:rPr>
        <w:t>各学院（教学部）和相关职能部门提供和审核相关评估材料。</w:t>
      </w:r>
    </w:p>
    <w:p w:rsidR="00AA04BD" w:rsidRDefault="00FB5CD0">
      <w:pPr>
        <w:widowControl/>
        <w:spacing w:line="540" w:lineRule="exact"/>
        <w:ind w:firstLine="640"/>
        <w:jc w:val="left"/>
        <w:rPr>
          <w:rFonts w:ascii="仿宋_GB2312" w:eastAsia="仿宋_GB2312" w:hAnsi="仿宋" w:cs="宋体"/>
          <w:kern w:val="0"/>
          <w:sz w:val="32"/>
          <w:szCs w:val="32"/>
        </w:rPr>
      </w:pPr>
      <w:r>
        <w:rPr>
          <w:rFonts w:ascii="仿宋_GB2312" w:eastAsia="仿宋_GB2312" w:hAnsi="仿宋" w:hint="eastAsia"/>
          <w:bCs/>
          <w:sz w:val="32"/>
          <w:szCs w:val="32"/>
        </w:rPr>
        <w:t>（三）状态评估办公室</w:t>
      </w:r>
      <w:r>
        <w:rPr>
          <w:rFonts w:ascii="仿宋_GB2312" w:eastAsia="仿宋_GB2312" w:hAnsi="仿宋" w:cs="宋体" w:hint="eastAsia"/>
          <w:kern w:val="0"/>
          <w:sz w:val="32"/>
          <w:szCs w:val="32"/>
        </w:rPr>
        <w:t>依据评估指标体系</w:t>
      </w:r>
      <w:r>
        <w:rPr>
          <w:rFonts w:ascii="仿宋_GB2312" w:eastAsia="仿宋_GB2312" w:hAnsi="仿宋" w:hint="eastAsia"/>
          <w:bCs/>
          <w:sz w:val="32"/>
          <w:szCs w:val="32"/>
        </w:rPr>
        <w:t>，组织专家组</w:t>
      </w:r>
      <w:r>
        <w:rPr>
          <w:rFonts w:ascii="仿宋_GB2312" w:eastAsia="仿宋_GB2312" w:hAnsi="仿宋" w:cs="宋体" w:hint="eastAsia"/>
          <w:kern w:val="0"/>
          <w:sz w:val="32"/>
          <w:szCs w:val="32"/>
        </w:rPr>
        <w:t>对</w:t>
      </w:r>
      <w:r>
        <w:rPr>
          <w:rFonts w:ascii="仿宋_GB2312" w:eastAsia="仿宋_GB2312" w:hAnsi="仿宋" w:hint="eastAsia"/>
          <w:bCs/>
          <w:sz w:val="32"/>
          <w:szCs w:val="32"/>
        </w:rPr>
        <w:t>各学院（</w:t>
      </w:r>
      <w:r>
        <w:rPr>
          <w:rFonts w:ascii="仿宋_GB2312" w:eastAsia="仿宋_GB2312" w:hAnsi="仿宋" w:hint="eastAsia"/>
          <w:sz w:val="32"/>
          <w:szCs w:val="32"/>
        </w:rPr>
        <w:t>教学</w:t>
      </w:r>
      <w:r>
        <w:rPr>
          <w:rFonts w:ascii="仿宋_GB2312" w:eastAsia="仿宋_GB2312" w:hAnsi="仿宋" w:hint="eastAsia"/>
          <w:bCs/>
          <w:sz w:val="32"/>
          <w:szCs w:val="32"/>
        </w:rPr>
        <w:t>部）</w:t>
      </w:r>
      <w:r>
        <w:rPr>
          <w:rFonts w:ascii="仿宋_GB2312" w:eastAsia="仿宋_GB2312" w:hAnsi="仿宋" w:cs="宋体" w:hint="eastAsia"/>
          <w:kern w:val="0"/>
          <w:sz w:val="32"/>
          <w:szCs w:val="32"/>
        </w:rPr>
        <w:t>进行评分并公示。</w:t>
      </w:r>
    </w:p>
    <w:p w:rsidR="00AA04BD" w:rsidRDefault="00FB5CD0">
      <w:pPr>
        <w:widowControl/>
        <w:spacing w:line="540" w:lineRule="exact"/>
        <w:ind w:firstLine="640"/>
        <w:jc w:val="left"/>
        <w:rPr>
          <w:rFonts w:ascii="仿宋_GB2312" w:eastAsia="仿宋_GB2312" w:hAnsi="仿宋"/>
          <w:bCs/>
          <w:sz w:val="32"/>
          <w:szCs w:val="32"/>
        </w:rPr>
      </w:pPr>
      <w:r>
        <w:rPr>
          <w:rFonts w:ascii="仿宋_GB2312" w:eastAsia="仿宋_GB2312" w:hAnsi="仿宋" w:cs="宋体" w:hint="eastAsia"/>
          <w:kern w:val="0"/>
          <w:sz w:val="32"/>
          <w:szCs w:val="32"/>
        </w:rPr>
        <w:t>（四）</w:t>
      </w:r>
      <w:r>
        <w:rPr>
          <w:rFonts w:ascii="仿宋_GB2312" w:eastAsia="仿宋_GB2312" w:hAnsi="仿宋" w:hint="eastAsia"/>
          <w:bCs/>
          <w:sz w:val="32"/>
          <w:szCs w:val="32"/>
        </w:rPr>
        <w:t>状态评估领导小组审定评估</w:t>
      </w:r>
      <w:r>
        <w:rPr>
          <w:rFonts w:ascii="仿宋_GB2312" w:eastAsia="仿宋_GB2312" w:hAnsi="仿宋" w:cs="宋体" w:hint="eastAsia"/>
          <w:kern w:val="0"/>
          <w:sz w:val="32"/>
          <w:szCs w:val="32"/>
        </w:rPr>
        <w:t>结果并发文公布，同时落实状态评估激励机制。</w:t>
      </w:r>
    </w:p>
    <w:p w:rsidR="00AA04BD" w:rsidRDefault="00FB5CD0">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（五）各学院（教学部）根据评估情况进行整改，并在公布评估结果后一个月内将整改报告报状态评估领导小组备案，作为下一年度状态评估的内容之一。</w:t>
      </w:r>
    </w:p>
    <w:p w:rsidR="00AA04BD" w:rsidRDefault="00FB5CD0" w:rsidP="00975C52">
      <w:pPr>
        <w:spacing w:beforeLines="100" w:afterLines="100" w:line="540" w:lineRule="exact"/>
        <w:jc w:val="center"/>
        <w:rPr>
          <w:rFonts w:ascii="黑体" w:eastAsia="黑体" w:hAnsi="黑体"/>
          <w:sz w:val="32"/>
          <w:szCs w:val="32"/>
        </w:rPr>
      </w:pPr>
      <w:r>
        <w:rPr>
          <w:rFonts w:ascii="黑体" w:eastAsia="黑体" w:hAnsi="黑体" w:hint="eastAsia"/>
          <w:sz w:val="32"/>
          <w:szCs w:val="32"/>
        </w:rPr>
        <w:lastRenderedPageBreak/>
        <w:t>第五章  评估结果及运用</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第十条</w:t>
      </w:r>
      <w:r>
        <w:rPr>
          <w:rFonts w:ascii="仿宋_GB2312" w:eastAsia="仿宋_GB2312" w:hAnsi="仿宋" w:hint="eastAsia"/>
          <w:bCs/>
          <w:sz w:val="32"/>
          <w:szCs w:val="32"/>
        </w:rPr>
        <w:t xml:space="preserve">  学校设立状态评估专项奖励。根据状态评估结果，对总分排前</w:t>
      </w:r>
      <w:r>
        <w:rPr>
          <w:rFonts w:ascii="Times New Roman" w:eastAsia="仿宋_GB2312" w:hAnsi="Times New Roman"/>
          <w:bCs/>
          <w:sz w:val="32"/>
          <w:szCs w:val="32"/>
        </w:rPr>
        <w:t>3</w:t>
      </w:r>
      <w:r>
        <w:rPr>
          <w:rFonts w:ascii="仿宋_GB2312" w:eastAsia="仿宋_GB2312" w:hAnsi="仿宋" w:hint="eastAsia"/>
          <w:bCs/>
          <w:sz w:val="32"/>
          <w:szCs w:val="32"/>
        </w:rPr>
        <w:t>名的单位分别给予</w:t>
      </w:r>
      <w:r>
        <w:rPr>
          <w:rFonts w:ascii="Times New Roman" w:eastAsia="仿宋_GB2312" w:hAnsi="Times New Roman"/>
          <w:bCs/>
          <w:sz w:val="32"/>
          <w:szCs w:val="32"/>
        </w:rPr>
        <w:t>10</w:t>
      </w:r>
      <w:r>
        <w:rPr>
          <w:rFonts w:ascii="仿宋_GB2312" w:eastAsia="仿宋_GB2312" w:hAnsi="仿宋" w:hint="eastAsia"/>
          <w:bCs/>
          <w:sz w:val="32"/>
          <w:szCs w:val="32"/>
        </w:rPr>
        <w:t>万元、</w:t>
      </w:r>
      <w:r>
        <w:rPr>
          <w:rFonts w:ascii="Times New Roman" w:eastAsia="仿宋_GB2312" w:hAnsi="Times New Roman"/>
          <w:bCs/>
          <w:sz w:val="32"/>
          <w:szCs w:val="32"/>
        </w:rPr>
        <w:t>5</w:t>
      </w:r>
      <w:r>
        <w:rPr>
          <w:rFonts w:ascii="仿宋_GB2312" w:eastAsia="仿宋_GB2312" w:hAnsi="仿宋" w:hint="eastAsia"/>
          <w:bCs/>
          <w:sz w:val="32"/>
          <w:szCs w:val="32"/>
        </w:rPr>
        <w:t>万元、</w:t>
      </w:r>
      <w:r>
        <w:rPr>
          <w:rFonts w:ascii="Times New Roman" w:eastAsia="仿宋_GB2312" w:hAnsi="Times New Roman"/>
          <w:bCs/>
          <w:sz w:val="32"/>
          <w:szCs w:val="32"/>
        </w:rPr>
        <w:t>3</w:t>
      </w:r>
      <w:r>
        <w:rPr>
          <w:rFonts w:ascii="仿宋_GB2312" w:eastAsia="仿宋_GB2312" w:hAnsi="仿宋" w:hint="eastAsia"/>
          <w:bCs/>
          <w:sz w:val="32"/>
          <w:szCs w:val="32"/>
        </w:rPr>
        <w:t>万元的奖励。</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第十一条</w:t>
      </w:r>
      <w:r>
        <w:rPr>
          <w:rFonts w:ascii="仿宋_GB2312" w:eastAsia="仿宋_GB2312" w:hAnsi="仿宋" w:hint="eastAsia"/>
          <w:bCs/>
          <w:sz w:val="32"/>
          <w:szCs w:val="32"/>
        </w:rPr>
        <w:t xml:space="preserve">  </w:t>
      </w:r>
      <w:r>
        <w:rPr>
          <w:rFonts w:ascii="仿宋_GB2312" w:eastAsia="仿宋_GB2312" w:hint="eastAsia"/>
          <w:bCs/>
          <w:sz w:val="32"/>
          <w:szCs w:val="32"/>
        </w:rPr>
        <w:t>状态</w:t>
      </w:r>
      <w:r>
        <w:rPr>
          <w:rFonts w:ascii="仿宋_GB2312" w:eastAsia="仿宋_GB2312" w:hAnsi="仿宋" w:hint="eastAsia"/>
          <w:bCs/>
          <w:sz w:val="32"/>
          <w:szCs w:val="32"/>
        </w:rPr>
        <w:t>评估结果与学校教学单位年度工作目标考核挂钩，是年度工作目标考核“本科教学”指标得分的依据。对于评估结果排在后</w:t>
      </w:r>
      <w:r>
        <w:rPr>
          <w:rFonts w:ascii="Times New Roman" w:eastAsia="仿宋_GB2312" w:hAnsi="Times New Roman"/>
          <w:bCs/>
          <w:sz w:val="32"/>
          <w:szCs w:val="32"/>
        </w:rPr>
        <w:t>3</w:t>
      </w:r>
      <w:r>
        <w:rPr>
          <w:rFonts w:ascii="仿宋_GB2312" w:eastAsia="仿宋_GB2312" w:hAnsi="仿宋" w:hint="eastAsia"/>
          <w:bCs/>
          <w:sz w:val="32"/>
          <w:szCs w:val="32"/>
        </w:rPr>
        <w:t>名的单位，校领导将进行约谈并提出整改要求。</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第十二条</w:t>
      </w:r>
      <w:r>
        <w:rPr>
          <w:rFonts w:ascii="仿宋_GB2312" w:eastAsia="仿宋_GB2312" w:hAnsi="仿宋" w:hint="eastAsia"/>
          <w:bCs/>
          <w:sz w:val="32"/>
          <w:szCs w:val="32"/>
        </w:rPr>
        <w:t xml:space="preserve">  各学院（教学部）应按照评估要求，如实提供评估材料，</w:t>
      </w:r>
      <w:r>
        <w:rPr>
          <w:rFonts w:ascii="仿宋_GB2312" w:eastAsia="仿宋_GB2312" w:hAnsi="仿宋" w:hint="eastAsia"/>
          <w:sz w:val="32"/>
          <w:szCs w:val="32"/>
        </w:rPr>
        <w:t>凡提供虚假信息</w:t>
      </w:r>
      <w:r>
        <w:rPr>
          <w:rFonts w:ascii="仿宋_GB2312" w:eastAsia="仿宋_GB2312" w:hAnsi="仿宋" w:hint="eastAsia"/>
          <w:bCs/>
          <w:sz w:val="32"/>
          <w:szCs w:val="32"/>
        </w:rPr>
        <w:t>，一经查实，给予全校通报批评，其年度状态评估结论直接确定为“不合格”。</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第十三条</w:t>
      </w:r>
      <w:r>
        <w:rPr>
          <w:rFonts w:ascii="仿宋_GB2312" w:eastAsia="仿宋_GB2312" w:hAnsi="仿宋" w:hint="eastAsia"/>
          <w:bCs/>
          <w:sz w:val="32"/>
          <w:szCs w:val="32"/>
        </w:rPr>
        <w:t xml:space="preserve">  状态评估总分排前</w:t>
      </w:r>
      <w:r>
        <w:rPr>
          <w:rFonts w:ascii="Times New Roman" w:eastAsia="仿宋_GB2312" w:hAnsi="Times New Roman"/>
          <w:bCs/>
          <w:sz w:val="32"/>
          <w:szCs w:val="32"/>
        </w:rPr>
        <w:t>3</w:t>
      </w:r>
      <w:r>
        <w:rPr>
          <w:rFonts w:ascii="仿宋_GB2312" w:eastAsia="仿宋_GB2312" w:hAnsi="仿宋" w:hint="eastAsia"/>
          <w:bCs/>
          <w:sz w:val="32"/>
          <w:szCs w:val="32"/>
        </w:rPr>
        <w:t>名的单位，若当年出现教学事故</w:t>
      </w:r>
      <w:r>
        <w:rPr>
          <w:rFonts w:ascii="Times New Roman" w:eastAsia="仿宋_GB2312" w:hAnsi="Times New Roman"/>
          <w:bCs/>
          <w:sz w:val="32"/>
          <w:szCs w:val="32"/>
        </w:rPr>
        <w:t>1</w:t>
      </w:r>
      <w:r>
        <w:rPr>
          <w:rFonts w:ascii="仿宋_GB2312" w:eastAsia="仿宋_GB2312" w:hAnsi="仿宋" w:hint="eastAsia"/>
          <w:bCs/>
          <w:sz w:val="32"/>
          <w:szCs w:val="32"/>
        </w:rPr>
        <w:t>次或该单位教师累计出现教学事故</w:t>
      </w:r>
      <w:r>
        <w:rPr>
          <w:rFonts w:ascii="Times New Roman" w:eastAsia="仿宋_GB2312" w:hAnsi="Times New Roman"/>
          <w:bCs/>
          <w:sz w:val="32"/>
          <w:szCs w:val="32"/>
        </w:rPr>
        <w:t>2</w:t>
      </w:r>
      <w:r>
        <w:rPr>
          <w:rFonts w:ascii="仿宋_GB2312" w:eastAsia="仿宋_GB2312" w:hAnsi="仿宋" w:hint="eastAsia"/>
          <w:bCs/>
          <w:sz w:val="32"/>
          <w:szCs w:val="32"/>
        </w:rPr>
        <w:t>次，将取消奖励资格，获奖单位按评估得分排名顺延递补。</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第十四条</w:t>
      </w:r>
      <w:r>
        <w:rPr>
          <w:rFonts w:ascii="仿宋_GB2312" w:eastAsia="仿宋_GB2312" w:hAnsi="仿宋" w:hint="eastAsia"/>
          <w:bCs/>
          <w:sz w:val="32"/>
          <w:szCs w:val="32"/>
        </w:rPr>
        <w:t xml:space="preserve">  状态评估连续两年总分排名在最后</w:t>
      </w:r>
      <w:r>
        <w:rPr>
          <w:rFonts w:ascii="Times New Roman" w:eastAsia="仿宋_GB2312" w:hAnsi="Times New Roman"/>
          <w:bCs/>
          <w:sz w:val="32"/>
          <w:szCs w:val="32"/>
        </w:rPr>
        <w:t>3</w:t>
      </w:r>
      <w:r>
        <w:rPr>
          <w:rFonts w:ascii="仿宋_GB2312" w:eastAsia="仿宋_GB2312" w:hAnsi="仿宋" w:hint="eastAsia"/>
          <w:bCs/>
          <w:sz w:val="32"/>
          <w:szCs w:val="32"/>
        </w:rPr>
        <w:t>名的单位，学校根据实际情况进行预警或适当减少本科招生计划，学校主要领导约谈并督促整改。</w:t>
      </w:r>
    </w:p>
    <w:p w:rsidR="00AA04BD" w:rsidRDefault="00FB5CD0" w:rsidP="00975C52">
      <w:pPr>
        <w:spacing w:beforeLines="100" w:afterLines="100" w:line="540" w:lineRule="exact"/>
        <w:jc w:val="center"/>
        <w:rPr>
          <w:rFonts w:ascii="黑体" w:eastAsia="黑体" w:hAnsi="黑体"/>
          <w:sz w:val="32"/>
          <w:szCs w:val="32"/>
        </w:rPr>
      </w:pPr>
      <w:r>
        <w:rPr>
          <w:rFonts w:ascii="黑体" w:eastAsia="黑体" w:hAnsi="黑体" w:hint="eastAsia"/>
          <w:sz w:val="32"/>
          <w:szCs w:val="32"/>
        </w:rPr>
        <w:t>第六章  附  则</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第十五条</w:t>
      </w:r>
      <w:r>
        <w:rPr>
          <w:rFonts w:ascii="仿宋_GB2312" w:eastAsia="仿宋_GB2312" w:hAnsi="仿宋" w:hint="eastAsia"/>
          <w:bCs/>
          <w:sz w:val="32"/>
          <w:szCs w:val="32"/>
        </w:rPr>
        <w:t xml:space="preserve">  本办法自</w:t>
      </w:r>
      <w:r>
        <w:rPr>
          <w:rFonts w:ascii="Times New Roman" w:eastAsia="仿宋_GB2312" w:hAnsi="Times New Roman"/>
          <w:bCs/>
          <w:sz w:val="32"/>
          <w:szCs w:val="32"/>
        </w:rPr>
        <w:t>2023</w:t>
      </w:r>
      <w:r>
        <w:rPr>
          <w:rFonts w:ascii="仿宋_GB2312" w:eastAsia="仿宋_GB2312" w:hAnsi="仿宋" w:hint="eastAsia"/>
          <w:bCs/>
          <w:sz w:val="32"/>
          <w:szCs w:val="32"/>
        </w:rPr>
        <w:t>年</w:t>
      </w:r>
      <w:r>
        <w:rPr>
          <w:rFonts w:ascii="Times New Roman" w:eastAsia="仿宋_GB2312" w:hAnsi="Times New Roman"/>
          <w:bCs/>
          <w:sz w:val="32"/>
          <w:szCs w:val="32"/>
        </w:rPr>
        <w:t>1</w:t>
      </w:r>
      <w:r>
        <w:rPr>
          <w:rFonts w:ascii="仿宋_GB2312" w:eastAsia="仿宋_GB2312" w:hAnsi="仿宋" w:hint="eastAsia"/>
          <w:bCs/>
          <w:sz w:val="32"/>
          <w:szCs w:val="32"/>
        </w:rPr>
        <w:t>月</w:t>
      </w:r>
      <w:r>
        <w:rPr>
          <w:rFonts w:ascii="Times New Roman" w:eastAsia="仿宋_GB2312" w:hAnsi="Times New Roman"/>
          <w:bCs/>
          <w:sz w:val="32"/>
          <w:szCs w:val="32"/>
        </w:rPr>
        <w:t>1</w:t>
      </w:r>
      <w:r>
        <w:rPr>
          <w:rFonts w:ascii="仿宋_GB2312" w:eastAsia="仿宋_GB2312" w:hAnsi="仿宋" w:hint="eastAsia"/>
          <w:bCs/>
          <w:sz w:val="32"/>
          <w:szCs w:val="32"/>
        </w:rPr>
        <w:t>日起试行。学校相关规定与本办法不一致的，以本办法为准。</w:t>
      </w:r>
    </w:p>
    <w:p w:rsidR="00AA04BD" w:rsidRDefault="00FB5CD0" w:rsidP="00155E36">
      <w:pPr>
        <w:spacing w:line="540" w:lineRule="exact"/>
        <w:ind w:firstLineChars="200" w:firstLine="641"/>
        <w:rPr>
          <w:rFonts w:ascii="仿宋_GB2312" w:eastAsia="仿宋_GB2312" w:hAnsi="仿宋"/>
          <w:bCs/>
          <w:sz w:val="32"/>
          <w:szCs w:val="32"/>
        </w:rPr>
      </w:pPr>
      <w:r>
        <w:rPr>
          <w:rFonts w:ascii="仿宋_GB2312" w:eastAsia="仿宋_GB2312" w:hAnsi="仿宋" w:hint="eastAsia"/>
          <w:b/>
          <w:sz w:val="32"/>
          <w:szCs w:val="32"/>
        </w:rPr>
        <w:t>第十六条</w:t>
      </w:r>
      <w:r>
        <w:rPr>
          <w:rFonts w:ascii="仿宋_GB2312" w:eastAsia="仿宋_GB2312" w:hAnsi="仿宋" w:hint="eastAsia"/>
          <w:bCs/>
          <w:sz w:val="32"/>
          <w:szCs w:val="32"/>
        </w:rPr>
        <w:t xml:space="preserve">  本办法由本科生院负责解释。</w:t>
      </w:r>
    </w:p>
    <w:p w:rsidR="00AA04BD" w:rsidRDefault="00AA04BD">
      <w:pPr>
        <w:spacing w:line="540" w:lineRule="exact"/>
        <w:ind w:firstLineChars="200" w:firstLine="640"/>
        <w:rPr>
          <w:rFonts w:ascii="仿宋_GB2312" w:eastAsia="仿宋_GB2312" w:hAnsi="仿宋"/>
          <w:bCs/>
          <w:sz w:val="32"/>
          <w:szCs w:val="32"/>
        </w:rPr>
      </w:pPr>
    </w:p>
    <w:p w:rsidR="00AA04BD" w:rsidRDefault="00FB5CD0">
      <w:pPr>
        <w:spacing w:line="540" w:lineRule="exact"/>
        <w:ind w:leftChars="304" w:left="1556" w:hangingChars="287" w:hanging="918"/>
        <w:jc w:val="left"/>
        <w:rPr>
          <w:rFonts w:ascii="仿宋_GB2312" w:eastAsia="仿宋_GB2312" w:hAnsi="仿宋" w:cs="仿宋"/>
          <w:bCs/>
          <w:sz w:val="32"/>
          <w:szCs w:val="32"/>
        </w:rPr>
      </w:pPr>
      <w:r>
        <w:rPr>
          <w:rFonts w:ascii="仿宋_GB2312" w:eastAsia="仿宋_GB2312" w:hAnsi="仿宋" w:cs="仿宋" w:hint="eastAsia"/>
          <w:bCs/>
          <w:sz w:val="32"/>
          <w:szCs w:val="32"/>
        </w:rPr>
        <w:lastRenderedPageBreak/>
        <w:t>附件：华南农业大学学院（教学部）本科教学工作状态评估指标体系</w:t>
      </w: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AA04BD">
      <w:pPr>
        <w:jc w:val="left"/>
        <w:rPr>
          <w:rFonts w:ascii="仿宋" w:eastAsia="仿宋" w:hAnsi="仿宋" w:cs="仿宋"/>
          <w:bCs/>
          <w:sz w:val="30"/>
          <w:szCs w:val="30"/>
        </w:rPr>
      </w:pPr>
    </w:p>
    <w:p w:rsidR="00AA04BD" w:rsidRDefault="00FB5CD0" w:rsidP="00975C52">
      <w:pPr>
        <w:spacing w:beforeLines="100" w:line="600" w:lineRule="exact"/>
        <w:rPr>
          <w:rFonts w:ascii="仿宋_GB2312" w:eastAsia="仿宋_GB2312" w:hAnsi="黑体"/>
          <w:sz w:val="32"/>
        </w:rPr>
      </w:pPr>
      <w:r>
        <w:rPr>
          <w:rFonts w:ascii="黑体" w:eastAsia="黑体" w:hAnsi="黑体" w:hint="eastAsia"/>
          <w:sz w:val="32"/>
        </w:rPr>
        <w:t>公开方式：</w:t>
      </w:r>
      <w:r>
        <w:rPr>
          <w:rFonts w:ascii="仿宋_GB2312" w:eastAsia="仿宋_GB2312" w:hAnsi="黑体" w:hint="eastAsia"/>
          <w:sz w:val="32"/>
        </w:rPr>
        <w:t>主动公开</w:t>
      </w:r>
    </w:p>
    <w:p w:rsidR="00AA04BD" w:rsidRDefault="00975C52">
      <w:pPr>
        <w:spacing w:line="600" w:lineRule="exact"/>
        <w:ind w:left="1680" w:hangingChars="600" w:hanging="1680"/>
        <w:rPr>
          <w:rFonts w:ascii="仿宋_GB2312" w:eastAsia="仿宋_GB2312"/>
          <w:sz w:val="28"/>
          <w:szCs w:val="28"/>
        </w:rPr>
      </w:pPr>
      <w:r w:rsidRPr="00975C52">
        <w:rPr>
          <w:sz w:val="28"/>
          <w:szCs w:val="28"/>
        </w:rPr>
        <w:pict>
          <v:line id="_x0000_s1026" style="position:absolute;left:0;text-align:left;z-index:251659264;mso-width-relative:page;mso-height-relative:page" from="-1.5pt,2.3pt" to="439.5pt,2.3pt"/>
        </w:pict>
      </w:r>
      <w:r w:rsidR="00FB5CD0">
        <w:rPr>
          <w:rFonts w:ascii="仿宋_GB2312" w:eastAsia="仿宋_GB2312" w:hint="eastAsia"/>
          <w:sz w:val="28"/>
          <w:szCs w:val="28"/>
        </w:rPr>
        <w:t xml:space="preserve">  华南农业大学党政办公室</w:t>
      </w:r>
      <w:r w:rsidR="00FB5CD0">
        <w:rPr>
          <w:rFonts w:ascii="仿宋_GB2312" w:eastAsia="仿宋_GB2312"/>
          <w:sz w:val="28"/>
          <w:szCs w:val="28"/>
        </w:rPr>
        <w:t xml:space="preserve">       </w:t>
      </w:r>
      <w:r w:rsidR="00FB5CD0">
        <w:rPr>
          <w:rFonts w:ascii="仿宋_GB2312" w:eastAsia="仿宋_GB2312" w:hint="eastAsia"/>
          <w:sz w:val="28"/>
          <w:szCs w:val="28"/>
        </w:rPr>
        <w:t xml:space="preserve">           </w:t>
      </w:r>
      <w:r w:rsidR="00FB5CD0">
        <w:rPr>
          <w:rFonts w:ascii="Times New Roman" w:eastAsia="仿宋_GB2312" w:hAnsi="Times New Roman"/>
          <w:sz w:val="28"/>
          <w:szCs w:val="28"/>
        </w:rPr>
        <w:t>2023</w:t>
      </w:r>
      <w:r w:rsidR="00FB5CD0">
        <w:rPr>
          <w:rFonts w:ascii="仿宋_GB2312" w:eastAsia="仿宋_GB2312" w:hint="eastAsia"/>
          <w:sz w:val="28"/>
          <w:szCs w:val="28"/>
        </w:rPr>
        <w:t>年</w:t>
      </w:r>
      <w:r w:rsidR="00FB5CD0">
        <w:rPr>
          <w:rFonts w:ascii="Times New Roman" w:eastAsia="仿宋_GB2312" w:hAnsi="Times New Roman"/>
          <w:sz w:val="28"/>
          <w:szCs w:val="28"/>
        </w:rPr>
        <w:t>2</w:t>
      </w:r>
      <w:r w:rsidR="00FB5CD0">
        <w:rPr>
          <w:rFonts w:ascii="仿宋_GB2312" w:eastAsia="仿宋_GB2312" w:hint="eastAsia"/>
          <w:sz w:val="28"/>
          <w:szCs w:val="28"/>
        </w:rPr>
        <w:t>月</w:t>
      </w:r>
      <w:r w:rsidR="00FB5CD0">
        <w:rPr>
          <w:rFonts w:ascii="Times New Roman" w:eastAsia="仿宋_GB2312" w:hAnsi="Times New Roman"/>
          <w:sz w:val="28"/>
          <w:szCs w:val="28"/>
        </w:rPr>
        <w:t>1</w:t>
      </w:r>
      <w:r w:rsidR="00FB5CD0">
        <w:rPr>
          <w:rFonts w:ascii="仿宋_GB2312" w:eastAsia="仿宋_GB2312" w:hint="eastAsia"/>
          <w:sz w:val="28"/>
          <w:szCs w:val="28"/>
        </w:rPr>
        <w:t xml:space="preserve">日印发  </w:t>
      </w:r>
    </w:p>
    <w:p w:rsidR="00AA04BD" w:rsidRDefault="00975C52">
      <w:pPr>
        <w:jc w:val="center"/>
        <w:rPr>
          <w:rFonts w:ascii="仿宋" w:eastAsia="仿宋" w:hAnsi="仿宋"/>
        </w:rPr>
      </w:pPr>
      <w:r w:rsidRPr="00975C52">
        <w:rPr>
          <w:sz w:val="28"/>
          <w:szCs w:val="28"/>
        </w:rPr>
        <w:pict>
          <v:line id="_x0000_s1028" style="position:absolute;left:0;text-align:left;z-index:251660288;mso-width-relative:page;mso-height-relative:page" from="0,2.3pt" to="441pt,2.3pt"/>
        </w:pict>
      </w:r>
    </w:p>
    <w:sectPr w:rsidR="00AA04BD" w:rsidSect="00975C52">
      <w:footerReference w:type="even" r:id="rId8"/>
      <w:footerReference w:type="default" r:id="rId9"/>
      <w:pgSz w:w="11906" w:h="16838"/>
      <w:pgMar w:top="2098" w:right="1418" w:bottom="1418" w:left="1644"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26" w:rsidRDefault="00FB5CD0">
      <w:r>
        <w:separator/>
      </w:r>
    </w:p>
  </w:endnote>
  <w:endnote w:type="continuationSeparator" w:id="0">
    <w:p w:rsidR="00FB6C26" w:rsidRDefault="00FB5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embedRegular r:id="rId1" w:subsetted="1" w:fontKey="{76655D57-D13D-4378-9C4C-BE7348A9500F}"/>
  </w:font>
  <w:font w:name="仿宋_GB2312">
    <w:altName w:val="Arial Unicode MS"/>
    <w:charset w:val="86"/>
    <w:family w:val="modern"/>
    <w:pitch w:val="fixed"/>
    <w:sig w:usb0="00000000" w:usb1="080E0000" w:usb2="00000010" w:usb3="00000000" w:csb0="00040000" w:csb1="00000000"/>
    <w:embedRegular r:id="rId2" w:subsetted="1" w:fontKey="{80DA6092-CC62-491C-A605-336F8F47CBE2}"/>
    <w:embedBold r:id="rId3" w:subsetted="1" w:fontKey="{A38B7C99-3C24-4F57-BD1C-D693015B7DC6}"/>
  </w:font>
  <w:font w:name="仿宋">
    <w:panose1 w:val="02010609060101010101"/>
    <w:charset w:val="86"/>
    <w:family w:val="modern"/>
    <w:pitch w:val="fixed"/>
    <w:sig w:usb0="800002BF" w:usb1="38CF7CFA" w:usb2="00000016" w:usb3="00000000" w:csb0="00040001" w:csb1="00000000"/>
    <w:embedRegular r:id="rId4" w:subsetted="1" w:fontKey="{930D3E3D-0555-44CB-9180-1A46E2BE1F8A}"/>
  </w:font>
  <w:font w:name="黑体">
    <w:altName w:val="SimHei"/>
    <w:panose1 w:val="02010609060101010101"/>
    <w:charset w:val="86"/>
    <w:family w:val="modern"/>
    <w:pitch w:val="fixed"/>
    <w:sig w:usb0="800002BF" w:usb1="38CF7CFA" w:usb2="00000016" w:usb3="00000000" w:csb0="00040001" w:csb1="00000000"/>
    <w:embedRegular r:id="rId5" w:subsetted="1" w:fontKey="{0A5DD05E-C376-4965-9E3F-C0C372E0008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BD" w:rsidRDefault="00975C52">
    <w:pPr>
      <w:pStyle w:val="a5"/>
      <w:rPr>
        <w:rFonts w:ascii="宋体" w:hAnsi="宋体"/>
        <w:sz w:val="28"/>
        <w:szCs w:val="28"/>
      </w:rPr>
    </w:pPr>
    <w:r>
      <w:rPr>
        <w:rFonts w:ascii="宋体" w:hAnsi="宋体"/>
        <w:sz w:val="28"/>
        <w:szCs w:val="28"/>
      </w:rPr>
      <w:fldChar w:fldCharType="begin"/>
    </w:r>
    <w:r w:rsidR="00FB5CD0">
      <w:rPr>
        <w:rFonts w:ascii="宋体" w:hAnsi="宋体"/>
        <w:sz w:val="28"/>
        <w:szCs w:val="28"/>
      </w:rPr>
      <w:instrText>PAGE   \* MERGEFORMAT</w:instrText>
    </w:r>
    <w:r>
      <w:rPr>
        <w:rFonts w:ascii="宋体" w:hAnsi="宋体"/>
        <w:sz w:val="28"/>
        <w:szCs w:val="28"/>
      </w:rPr>
      <w:fldChar w:fldCharType="separate"/>
    </w:r>
    <w:r w:rsidR="00931EA3" w:rsidRPr="00931EA3">
      <w:rPr>
        <w:rFonts w:ascii="宋体" w:hAnsi="宋体"/>
        <w:noProof/>
        <w:sz w:val="28"/>
        <w:szCs w:val="28"/>
        <w:lang w:val="zh-CN"/>
      </w:rPr>
      <w:t>-</w:t>
    </w:r>
    <w:r w:rsidR="00931EA3">
      <w:rPr>
        <w:rFonts w:ascii="宋体" w:hAnsi="宋体"/>
        <w:noProof/>
        <w:sz w:val="28"/>
        <w:szCs w:val="28"/>
      </w:rPr>
      <w:t xml:space="preserve"> 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BD" w:rsidRDefault="00975C52">
    <w:pPr>
      <w:pStyle w:val="a5"/>
      <w:jc w:val="right"/>
      <w:rPr>
        <w:rFonts w:ascii="宋体" w:hAnsi="宋体"/>
        <w:sz w:val="28"/>
        <w:szCs w:val="28"/>
      </w:rPr>
    </w:pPr>
    <w:r>
      <w:rPr>
        <w:rFonts w:ascii="宋体" w:hAnsi="宋体"/>
        <w:sz w:val="28"/>
        <w:szCs w:val="28"/>
      </w:rPr>
      <w:fldChar w:fldCharType="begin"/>
    </w:r>
    <w:r w:rsidR="00FB5CD0">
      <w:rPr>
        <w:rFonts w:ascii="宋体" w:hAnsi="宋体"/>
        <w:sz w:val="28"/>
        <w:szCs w:val="28"/>
      </w:rPr>
      <w:instrText>PAGE   \* MERGEFORMAT</w:instrText>
    </w:r>
    <w:r>
      <w:rPr>
        <w:rFonts w:ascii="宋体" w:hAnsi="宋体"/>
        <w:sz w:val="28"/>
        <w:szCs w:val="28"/>
      </w:rPr>
      <w:fldChar w:fldCharType="separate"/>
    </w:r>
    <w:r w:rsidR="00931EA3" w:rsidRPr="00931EA3">
      <w:rPr>
        <w:rFonts w:ascii="宋体" w:hAnsi="宋体"/>
        <w:noProof/>
        <w:sz w:val="28"/>
        <w:szCs w:val="28"/>
        <w:lang w:val="zh-CN"/>
      </w:rPr>
      <w:t>-</w:t>
    </w:r>
    <w:r w:rsidR="00931EA3">
      <w:rPr>
        <w:rFonts w:ascii="宋体" w:hAnsi="宋体"/>
        <w:noProof/>
        <w:sz w:val="28"/>
        <w:szCs w:val="28"/>
      </w:rPr>
      <w:t xml:space="preserve"> 7 -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26" w:rsidRDefault="00FB5CD0">
      <w:r>
        <w:separator/>
      </w:r>
    </w:p>
  </w:footnote>
  <w:footnote w:type="continuationSeparator" w:id="0">
    <w:p w:rsidR="00FB6C26" w:rsidRDefault="00FB5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TrueTypeFonts/>
  <w:saveSubsetFonts/>
  <w:bordersDoNotSurroundHeader/>
  <w:bordersDoNotSurroundFooter/>
  <w:revisionView w:markup="0"/>
  <w:doNotTrackMove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2VjNzNhOWE2Y2Q2ZjM1NGU5MTE5MzgwMGJkMDk2YWYifQ=="/>
    <w:docVar w:name="KGWebUrl" w:val="https://oa.scau.edu.cn:443/seeyon/officeservlet"/>
  </w:docVars>
  <w:rsids>
    <w:rsidRoot w:val="008E74B5"/>
    <w:rsid w:val="00044096"/>
    <w:rsid w:val="0005192A"/>
    <w:rsid w:val="000603D6"/>
    <w:rsid w:val="0007639F"/>
    <w:rsid w:val="0012327A"/>
    <w:rsid w:val="00136AEA"/>
    <w:rsid w:val="00145568"/>
    <w:rsid w:val="00155E36"/>
    <w:rsid w:val="001748DF"/>
    <w:rsid w:val="001813AD"/>
    <w:rsid w:val="00191CEE"/>
    <w:rsid w:val="00192C5B"/>
    <w:rsid w:val="001A268A"/>
    <w:rsid w:val="001C76E2"/>
    <w:rsid w:val="001D6057"/>
    <w:rsid w:val="001E3195"/>
    <w:rsid w:val="001F5C2F"/>
    <w:rsid w:val="002160C4"/>
    <w:rsid w:val="00230BB1"/>
    <w:rsid w:val="00247FC7"/>
    <w:rsid w:val="002807B3"/>
    <w:rsid w:val="002B37E9"/>
    <w:rsid w:val="002C7145"/>
    <w:rsid w:val="002D29BF"/>
    <w:rsid w:val="002E2882"/>
    <w:rsid w:val="002F055D"/>
    <w:rsid w:val="002F08B7"/>
    <w:rsid w:val="0030726C"/>
    <w:rsid w:val="003174B9"/>
    <w:rsid w:val="003249D7"/>
    <w:rsid w:val="003A113E"/>
    <w:rsid w:val="003B768A"/>
    <w:rsid w:val="0043529A"/>
    <w:rsid w:val="004437CD"/>
    <w:rsid w:val="00453747"/>
    <w:rsid w:val="00473E47"/>
    <w:rsid w:val="0048005A"/>
    <w:rsid w:val="004B2A34"/>
    <w:rsid w:val="004C285E"/>
    <w:rsid w:val="004C7623"/>
    <w:rsid w:val="004D764F"/>
    <w:rsid w:val="004E47F8"/>
    <w:rsid w:val="00502FDF"/>
    <w:rsid w:val="00531D4E"/>
    <w:rsid w:val="00547891"/>
    <w:rsid w:val="005534C8"/>
    <w:rsid w:val="00557C51"/>
    <w:rsid w:val="00573953"/>
    <w:rsid w:val="005B5D28"/>
    <w:rsid w:val="005C5854"/>
    <w:rsid w:val="00601B3A"/>
    <w:rsid w:val="006120C9"/>
    <w:rsid w:val="006B24CE"/>
    <w:rsid w:val="006C3A77"/>
    <w:rsid w:val="00711C49"/>
    <w:rsid w:val="0071343F"/>
    <w:rsid w:val="00791B9B"/>
    <w:rsid w:val="00794BBB"/>
    <w:rsid w:val="007B1658"/>
    <w:rsid w:val="007C6354"/>
    <w:rsid w:val="0080376D"/>
    <w:rsid w:val="00804004"/>
    <w:rsid w:val="00806592"/>
    <w:rsid w:val="00823DB3"/>
    <w:rsid w:val="008343A4"/>
    <w:rsid w:val="0085072E"/>
    <w:rsid w:val="00856970"/>
    <w:rsid w:val="008573DD"/>
    <w:rsid w:val="008A4461"/>
    <w:rsid w:val="008E74B5"/>
    <w:rsid w:val="00906186"/>
    <w:rsid w:val="00927A64"/>
    <w:rsid w:val="00931EA3"/>
    <w:rsid w:val="009549EA"/>
    <w:rsid w:val="00962B99"/>
    <w:rsid w:val="00975C52"/>
    <w:rsid w:val="00977C73"/>
    <w:rsid w:val="00986227"/>
    <w:rsid w:val="009A28D4"/>
    <w:rsid w:val="009A3997"/>
    <w:rsid w:val="009E328D"/>
    <w:rsid w:val="009F71A0"/>
    <w:rsid w:val="00A85972"/>
    <w:rsid w:val="00AA04BD"/>
    <w:rsid w:val="00AF7943"/>
    <w:rsid w:val="00B10B2D"/>
    <w:rsid w:val="00B502CB"/>
    <w:rsid w:val="00B5033D"/>
    <w:rsid w:val="00B963D2"/>
    <w:rsid w:val="00BB2505"/>
    <w:rsid w:val="00BD0E59"/>
    <w:rsid w:val="00BD74F6"/>
    <w:rsid w:val="00BF6B60"/>
    <w:rsid w:val="00BF7552"/>
    <w:rsid w:val="00C002B5"/>
    <w:rsid w:val="00C0429F"/>
    <w:rsid w:val="00C22499"/>
    <w:rsid w:val="00C46E11"/>
    <w:rsid w:val="00C526BE"/>
    <w:rsid w:val="00D00FBF"/>
    <w:rsid w:val="00D31E00"/>
    <w:rsid w:val="00D462BC"/>
    <w:rsid w:val="00D63B34"/>
    <w:rsid w:val="00D9635B"/>
    <w:rsid w:val="00D96BDE"/>
    <w:rsid w:val="00DC5389"/>
    <w:rsid w:val="00DE59F2"/>
    <w:rsid w:val="00DE7992"/>
    <w:rsid w:val="00DF13F1"/>
    <w:rsid w:val="00E000EE"/>
    <w:rsid w:val="00E05246"/>
    <w:rsid w:val="00E10B32"/>
    <w:rsid w:val="00E61CEB"/>
    <w:rsid w:val="00E911A4"/>
    <w:rsid w:val="00EC678E"/>
    <w:rsid w:val="00EF2CDC"/>
    <w:rsid w:val="00FB5CD0"/>
    <w:rsid w:val="00FB6C26"/>
    <w:rsid w:val="00FC207F"/>
    <w:rsid w:val="17525E39"/>
    <w:rsid w:val="198C1433"/>
    <w:rsid w:val="1B2C1CA1"/>
    <w:rsid w:val="209537C4"/>
    <w:rsid w:val="25A72540"/>
    <w:rsid w:val="26A722CA"/>
    <w:rsid w:val="2A205F7C"/>
    <w:rsid w:val="2E66347A"/>
    <w:rsid w:val="3A79517B"/>
    <w:rsid w:val="42005510"/>
    <w:rsid w:val="48524A37"/>
    <w:rsid w:val="54077315"/>
    <w:rsid w:val="66845B38"/>
    <w:rsid w:val="6942333C"/>
    <w:rsid w:val="736F1AC4"/>
    <w:rsid w:val="77582A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5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75C52"/>
    <w:pPr>
      <w:ind w:leftChars="2500" w:left="100"/>
    </w:pPr>
  </w:style>
  <w:style w:type="paragraph" w:styleId="a4">
    <w:name w:val="Balloon Text"/>
    <w:basedOn w:val="a"/>
    <w:link w:val="Char0"/>
    <w:uiPriority w:val="99"/>
    <w:unhideWhenUsed/>
    <w:qFormat/>
    <w:rsid w:val="00975C52"/>
    <w:rPr>
      <w:sz w:val="18"/>
      <w:szCs w:val="18"/>
    </w:rPr>
  </w:style>
  <w:style w:type="paragraph" w:styleId="a5">
    <w:name w:val="footer"/>
    <w:basedOn w:val="a"/>
    <w:link w:val="Char1"/>
    <w:uiPriority w:val="99"/>
    <w:unhideWhenUsed/>
    <w:qFormat/>
    <w:rsid w:val="00975C5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75C52"/>
    <w:pPr>
      <w:pBdr>
        <w:bottom w:val="single" w:sz="6" w:space="1" w:color="auto"/>
      </w:pBdr>
      <w:tabs>
        <w:tab w:val="center" w:pos="4153"/>
        <w:tab w:val="right" w:pos="8306"/>
      </w:tabs>
      <w:snapToGrid w:val="0"/>
      <w:jc w:val="center"/>
    </w:pPr>
    <w:rPr>
      <w:sz w:val="18"/>
      <w:szCs w:val="18"/>
    </w:rPr>
  </w:style>
  <w:style w:type="table" w:styleId="a7">
    <w:name w:val="Table Grid"/>
    <w:uiPriority w:val="39"/>
    <w:qFormat/>
    <w:rsid w:val="00975C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link w:val="a3"/>
    <w:uiPriority w:val="99"/>
    <w:semiHidden/>
    <w:qFormat/>
    <w:rsid w:val="00975C52"/>
    <w:rPr>
      <w:rFonts w:ascii="Calibri" w:eastAsia="宋体" w:hAnsi="Calibri" w:cs="Times New Roman"/>
      <w:kern w:val="2"/>
      <w:sz w:val="21"/>
      <w:szCs w:val="21"/>
    </w:rPr>
  </w:style>
  <w:style w:type="character" w:customStyle="1" w:styleId="Char0">
    <w:name w:val="批注框文本 Char"/>
    <w:link w:val="a4"/>
    <w:uiPriority w:val="99"/>
    <w:semiHidden/>
    <w:qFormat/>
    <w:rsid w:val="00975C52"/>
    <w:rPr>
      <w:rFonts w:ascii="Calibri" w:eastAsia="宋体" w:hAnsi="Calibri" w:cs="Times New Roman"/>
      <w:kern w:val="2"/>
      <w:sz w:val="18"/>
      <w:szCs w:val="18"/>
    </w:rPr>
  </w:style>
  <w:style w:type="character" w:customStyle="1" w:styleId="Char1">
    <w:name w:val="页脚 Char"/>
    <w:link w:val="a5"/>
    <w:uiPriority w:val="99"/>
    <w:qFormat/>
    <w:rsid w:val="00975C52"/>
    <w:rPr>
      <w:rFonts w:ascii="Calibri" w:eastAsia="宋体" w:hAnsi="Calibri" w:cs="Times New Roman"/>
      <w:kern w:val="2"/>
      <w:sz w:val="18"/>
      <w:szCs w:val="18"/>
    </w:rPr>
  </w:style>
  <w:style w:type="character" w:customStyle="1" w:styleId="Char2">
    <w:name w:val="页眉 Char"/>
    <w:link w:val="a6"/>
    <w:uiPriority w:val="99"/>
    <w:qFormat/>
    <w:rsid w:val="00975C52"/>
    <w:rPr>
      <w:rFonts w:ascii="Calibri" w:eastAsia="宋体" w:hAnsi="Calibri" w:cs="Times New Roman"/>
      <w:kern w:val="2"/>
      <w:sz w:val="18"/>
      <w:szCs w:val="18"/>
    </w:rPr>
  </w:style>
  <w:style w:type="paragraph" w:customStyle="1" w:styleId="1">
    <w:name w:val="修订1"/>
    <w:uiPriority w:val="99"/>
    <w:semiHidden/>
    <w:qFormat/>
    <w:rsid w:val="00975C52"/>
    <w:rPr>
      <w:kern w:val="2"/>
      <w:sz w:val="21"/>
      <w:szCs w:val="21"/>
    </w:rPr>
  </w:style>
  <w:style w:type="paragraph" w:customStyle="1" w:styleId="2">
    <w:name w:val="修订2"/>
    <w:hidden/>
    <w:uiPriority w:val="99"/>
    <w:semiHidden/>
    <w:qFormat/>
    <w:rsid w:val="00975C52"/>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E836D-8F3A-401F-AF1C-51B28399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328</Words>
  <Characters>1874</Characters>
  <Application>Microsoft Office Word</Application>
  <DocSecurity>0</DocSecurity>
  <Lines>15</Lines>
  <Paragraphs>4</Paragraphs>
  <ScaleCrop>false</ScaleCrop>
  <Company>神州网信技术有限公司</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陈石福</dc:creator>
  <cp:lastModifiedBy>魏蒨</cp:lastModifiedBy>
  <cp:revision>2</cp:revision>
  <cp:lastPrinted>2023-02-01T07:40:00Z</cp:lastPrinted>
  <dcterms:created xsi:type="dcterms:W3CDTF">2023-03-14T09:34:00Z</dcterms:created>
  <dcterms:modified xsi:type="dcterms:W3CDTF">2023-03-14T09:34:00Z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D2EAA741A3AC4A17A94A2408BEF97BE8</vt:lpwstr>
  </property>
</Properties>
</file>