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2B378">
      <w:pPr>
        <w:pStyle w:val="4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rFonts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  <w:t>观赏鱼饲养微专业招生简章</w:t>
      </w:r>
    </w:p>
    <w:p w14:paraId="2645E4A4">
      <w:pPr>
        <w:pStyle w:val="4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rFonts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</w:pPr>
    </w:p>
    <w:p w14:paraId="15D202DB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一、微专业简介 </w:t>
      </w:r>
    </w:p>
    <w:p w14:paraId="08E85906">
      <w:pPr>
        <w:pStyle w:val="4"/>
        <w:widowControl/>
        <w:shd w:val="clear" w:color="auto" w:fill="FFFFFF"/>
        <w:spacing w:beforeAutospacing="0" w:afterAutospacing="0" w:line="576" w:lineRule="exact"/>
        <w:ind w:firstLine="562" w:firstLineChars="20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  <w:t>观赏鱼饲养微专业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是融合水产养殖学、动物医学、观赏水族景观设计、水环境科学等多学科交叉融合的新农科专业，围绕观赏鱼养殖基础理论、水质调控技术、病害防控、繁育育种、水族景观搭建等核心基础理论与新技术，探索应用型、技能型、创新型水族人才培养新模式。本专业以观赏水族行业市场人才需求为导向，立足华南地区特色观赏鱼养殖产业优势，服务休闲农业、水族文旅、观赏鱼商贸行业发展，面向全国观赏水族养殖、景观设计、宠物养护、水产服务等领域，培养学生具备扎实的水产养殖、水生生物养护、水环境调控专业素养与系统的观赏鱼饲养繁育知识，具备解决观赏鱼常态化养殖、病害防治、品种繁育、水族造景等实际问题的能力，能够在观赏鱼养殖繁育、水族景观设计、水族门店运营、水产技术服务、休闲渔业文旅等领域从事技术实操、运维管理、技术指导、景观设计等相关工作。</w:t>
      </w:r>
    </w:p>
    <w:p w14:paraId="3762DB42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二、招生计划及要求</w:t>
      </w:r>
    </w:p>
    <w:p w14:paraId="66823BD8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观赏鱼饲养微专业面向我校全日制在校本科学生招生，不限原有专业，欢迎农林、生物、动物科学、园林、园艺等相关专业及对水族领域感兴趣的各专业学生报名，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具体要求如下：</w:t>
      </w:r>
    </w:p>
    <w:p w14:paraId="2D3EACEE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1. 招生对象：学习成绩优良、学有余力，无学业挂科记录或挂科科目已全部补考通过的在校本科生；具备基础的生物、化学学科常识，优先修读《普通生物学》《基础化学》《水产养殖概论》等相关课程的学生。</w:t>
      </w:r>
    </w:p>
    <w:p w14:paraId="587CE9AC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2. 招生规模：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30人左右（依据教育部最低备案要求，招收学生需达10人以上，其中2027届毕业生占比达30%。本次招生适度扩招，预留名额应对学生中途退读、学业冲突无法按时结业等情况，保障微专业顺利开班及教学质量）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。</w:t>
      </w:r>
    </w:p>
    <w:p w14:paraId="4B1D42B3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3. 招生要求：对观赏鱼养殖、水族景观设计、水生生物养护领域有浓厚兴趣，有深耕观赏水族行业、从事相关岗位工作的职业意愿；具备良好的动手实操能力、观察分析能力和自主学习能力，拥有严谨细致的治学态度、吃苦耐劳的实干精神以及勇于探索的创新精神，热爱水族事业，具备良好的职业素养和责任意识。</w:t>
      </w:r>
    </w:p>
    <w:p w14:paraId="6BEC50B5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三、报名与课程要求</w:t>
      </w:r>
    </w:p>
    <w:p w14:paraId="11A5094D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学生在第二学期或第四学期提出修读申请，每个学生限报1个微专业。</w:t>
      </w:r>
      <w:r>
        <w:rPr>
          <w:rFonts w:hint="eastAsia" w:asciiTheme="minorEastAsia" w:hAnsiTheme="minorEastAsia" w:cstheme="minorEastAsia"/>
          <w:color w:val="auto"/>
          <w:sz w:val="28"/>
          <w:szCs w:val="28"/>
          <w:shd w:val="clear" w:color="auto" w:fill="FFFFFF"/>
        </w:rPr>
        <w:t>微专业单独编班授课，原则上30人以上方可开班。微专业教学安排周六、周日上午1-5节授课。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课程要求按《华南农业大学微专业建设管理办法（试行）（华南农办〔2024〕36号）》执行。</w:t>
      </w:r>
    </w:p>
    <w:p w14:paraId="6D9B3D44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微专业课程成绩评定按《华南农业大学本科课程考核管理规定》执行。学生微专业课程考核成绩纳入学校教务管理平台；微专业课程不能申请免修或免听；微专业成绩单单列，不纳入学生综合测评。</w:t>
      </w:r>
    </w:p>
    <w:p w14:paraId="4CAF6C3D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四、开设课程及授课时间</w:t>
      </w:r>
    </w:p>
    <w:tbl>
      <w:tblPr>
        <w:tblStyle w:val="5"/>
        <w:tblW w:w="5683" w:type="pct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6"/>
        <w:gridCol w:w="2505"/>
        <w:gridCol w:w="646"/>
        <w:gridCol w:w="713"/>
        <w:gridCol w:w="758"/>
        <w:gridCol w:w="667"/>
        <w:gridCol w:w="1198"/>
        <w:gridCol w:w="1442"/>
      </w:tblGrid>
      <w:tr w14:paraId="239E49F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tblCellSpacing w:w="0" w:type="dxa"/>
          <w:jc w:val="center"/>
        </w:trPr>
        <w:tc>
          <w:tcPr>
            <w:tcW w:w="816" w:type="pct"/>
            <w:vMerge w:val="restart"/>
            <w:shd w:val="clear" w:color="auto" w:fill="auto"/>
            <w:vAlign w:val="center"/>
          </w:tcPr>
          <w:p w14:paraId="7DEE028C">
            <w:pPr>
              <w:pStyle w:val="4"/>
              <w:widowControl/>
              <w:spacing w:beforeAutospacing="0" w:afterAutospacing="0" w:line="360" w:lineRule="auto"/>
              <w:ind w:firstLine="281" w:firstLineChars="100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课程代码</w:t>
            </w:r>
          </w:p>
        </w:tc>
        <w:tc>
          <w:tcPr>
            <w:tcW w:w="1322" w:type="pct"/>
            <w:vMerge w:val="restart"/>
            <w:shd w:val="clear" w:color="auto" w:fill="auto"/>
            <w:vAlign w:val="center"/>
          </w:tcPr>
          <w:p w14:paraId="21AAEE95">
            <w:pPr>
              <w:pStyle w:val="4"/>
              <w:widowControl/>
              <w:spacing w:beforeAutospacing="0" w:afterAutospacing="0" w:line="360" w:lineRule="auto"/>
              <w:ind w:firstLine="562" w:firstLineChars="200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课程名称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58E75165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学分</w:t>
            </w:r>
          </w:p>
        </w:tc>
        <w:tc>
          <w:tcPr>
            <w:tcW w:w="376" w:type="pct"/>
            <w:vMerge w:val="restart"/>
            <w:shd w:val="clear" w:color="auto" w:fill="auto"/>
            <w:vAlign w:val="center"/>
          </w:tcPr>
          <w:p w14:paraId="1B898055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学时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14:paraId="603C591C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学时分配</w:t>
            </w:r>
          </w:p>
        </w:tc>
        <w:tc>
          <w:tcPr>
            <w:tcW w:w="632" w:type="pct"/>
            <w:vMerge w:val="restart"/>
            <w:shd w:val="clear" w:color="auto" w:fill="auto"/>
            <w:vAlign w:val="center"/>
          </w:tcPr>
          <w:p w14:paraId="6C07EC84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开课学期</w:t>
            </w:r>
          </w:p>
        </w:tc>
        <w:tc>
          <w:tcPr>
            <w:tcW w:w="761" w:type="pct"/>
            <w:vMerge w:val="restart"/>
            <w:shd w:val="clear" w:color="auto" w:fill="auto"/>
            <w:vAlign w:val="center"/>
          </w:tcPr>
          <w:p w14:paraId="0B555B87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考核方式</w:t>
            </w:r>
          </w:p>
        </w:tc>
      </w:tr>
      <w:tr w14:paraId="25ADCEE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tblCellSpacing w:w="0" w:type="dxa"/>
          <w:jc w:val="center"/>
        </w:trPr>
        <w:tc>
          <w:tcPr>
            <w:tcW w:w="816" w:type="pct"/>
            <w:vMerge w:val="continue"/>
            <w:shd w:val="clear" w:color="auto" w:fill="auto"/>
            <w:vAlign w:val="center"/>
          </w:tcPr>
          <w:p w14:paraId="7770EDD7">
            <w:pPr>
              <w:spacing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322" w:type="pct"/>
            <w:vMerge w:val="continue"/>
            <w:shd w:val="clear" w:color="auto" w:fill="auto"/>
            <w:vAlign w:val="center"/>
          </w:tcPr>
          <w:p w14:paraId="60B42762">
            <w:pPr>
              <w:spacing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41" w:type="pct"/>
            <w:vMerge w:val="continue"/>
            <w:shd w:val="clear" w:color="auto" w:fill="auto"/>
            <w:vAlign w:val="center"/>
          </w:tcPr>
          <w:p w14:paraId="3F68FE26">
            <w:pPr>
              <w:spacing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76" w:type="pct"/>
            <w:vMerge w:val="continue"/>
            <w:shd w:val="clear" w:color="auto" w:fill="auto"/>
            <w:vAlign w:val="center"/>
          </w:tcPr>
          <w:p w14:paraId="0DD4E8E3">
            <w:pPr>
              <w:spacing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387D974D">
            <w:pPr>
              <w:pStyle w:val="4"/>
              <w:widowControl/>
              <w:spacing w:beforeAutospacing="0" w:afterAutospacing="0"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理论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E88AF0F">
            <w:pPr>
              <w:pStyle w:val="4"/>
              <w:widowControl/>
              <w:spacing w:beforeAutospacing="0" w:afterAutospacing="0"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实践</w:t>
            </w:r>
          </w:p>
        </w:tc>
        <w:tc>
          <w:tcPr>
            <w:tcW w:w="632" w:type="pct"/>
            <w:vMerge w:val="continue"/>
            <w:shd w:val="clear" w:color="auto" w:fill="auto"/>
            <w:vAlign w:val="center"/>
          </w:tcPr>
          <w:p w14:paraId="4B5A5F8C">
            <w:pPr>
              <w:spacing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761" w:type="pct"/>
            <w:vMerge w:val="continue"/>
            <w:shd w:val="clear" w:color="auto" w:fill="auto"/>
            <w:vAlign w:val="center"/>
          </w:tcPr>
          <w:p w14:paraId="07F6D76E">
            <w:pPr>
              <w:spacing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</w:tr>
      <w:tr w14:paraId="6FAFD72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1" w:hRule="atLeast"/>
          <w:tblCellSpacing w:w="0" w:type="dxa"/>
          <w:jc w:val="center"/>
        </w:trPr>
        <w:tc>
          <w:tcPr>
            <w:tcW w:w="816" w:type="pct"/>
            <w:shd w:val="clear" w:color="auto" w:fill="auto"/>
            <w:vAlign w:val="center"/>
          </w:tcPr>
          <w:p w14:paraId="70BBA3A3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604840</w:t>
            </w:r>
          </w:p>
        </w:tc>
        <w:tc>
          <w:tcPr>
            <w:tcW w:w="1322" w:type="pct"/>
            <w:shd w:val="clear" w:color="auto" w:fill="auto"/>
            <w:vAlign w:val="center"/>
          </w:tcPr>
          <w:p w14:paraId="698191E8">
            <w:pPr>
              <w:widowControl/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观赏水族行业发展与产业前沿</w:t>
            </w:r>
          </w:p>
          <w:p w14:paraId="265C042D">
            <w:pPr>
              <w:widowControl/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Ornamental Aquatics Industry Development and Emerging Frontiers</w:t>
            </w:r>
          </w:p>
          <w:p w14:paraId="6E1FE82F">
            <w:pPr>
              <w:widowControl/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2AC76E7D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3FE678E4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3</w:t>
            </w:r>
            <w:r>
              <w:rPr>
                <w:rFonts w:asciiTheme="minorEastAsia" w:hAnsi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07B8A79C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16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202CAE9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</w:t>
            </w:r>
            <w:r>
              <w:rPr>
                <w:rFonts w:asciiTheme="minorEastAsia" w:hAnsiTheme="minorEastAsia" w:cstheme="minorEastAsia"/>
                <w:sz w:val="28"/>
                <w:szCs w:val="28"/>
              </w:rPr>
              <w:t>6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502F322C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lang w:val="en-US" w:eastAsia="zh-CN"/>
              </w:rPr>
              <w:t>秋</w:t>
            </w: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</w:rPr>
              <w:t>季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3DA4A08B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考查</w:t>
            </w:r>
          </w:p>
        </w:tc>
      </w:tr>
      <w:tr w14:paraId="2A9D85B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6" w:type="pct"/>
            <w:shd w:val="clear" w:color="auto" w:fill="auto"/>
            <w:vAlign w:val="center"/>
          </w:tcPr>
          <w:p w14:paraId="1D357B4B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604838</w:t>
            </w:r>
          </w:p>
        </w:tc>
        <w:tc>
          <w:tcPr>
            <w:tcW w:w="1322" w:type="pct"/>
            <w:shd w:val="clear" w:color="auto" w:fill="auto"/>
            <w:vAlign w:val="center"/>
          </w:tcPr>
          <w:p w14:paraId="188AF066">
            <w:pPr>
              <w:widowControl/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观赏鱼养殖基础与水质调控</w:t>
            </w:r>
          </w:p>
          <w:p w14:paraId="325600BA">
            <w:pPr>
              <w:widowControl/>
              <w:spacing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</w:rPr>
              <w:t>Ornamental Fish Farming and Water Quality Control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49501C2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04AC889D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32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1BD600A1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16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0B09372C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16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1A32C70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lang w:val="en-US" w:eastAsia="zh-CN"/>
              </w:rPr>
              <w:t>秋</w:t>
            </w: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</w:rPr>
              <w:t>季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2659543C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考查</w:t>
            </w:r>
          </w:p>
        </w:tc>
      </w:tr>
      <w:tr w14:paraId="66B76E8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6" w:type="pct"/>
            <w:shd w:val="clear" w:color="auto" w:fill="auto"/>
            <w:vAlign w:val="center"/>
          </w:tcPr>
          <w:p w14:paraId="2D8B7F8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604835</w:t>
            </w:r>
          </w:p>
        </w:tc>
        <w:tc>
          <w:tcPr>
            <w:tcW w:w="1322" w:type="pct"/>
            <w:shd w:val="clear" w:color="auto" w:fill="auto"/>
            <w:vAlign w:val="center"/>
          </w:tcPr>
          <w:p w14:paraId="0C93A79C">
            <w:pPr>
              <w:widowControl/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观赏鱼病害诊断与防控技术</w:t>
            </w:r>
          </w:p>
          <w:p w14:paraId="5251C5C7">
            <w:pPr>
              <w:widowControl/>
              <w:spacing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</w:rPr>
              <w:t>Principles and Practices of Ornamental Fish Disease Diagnosis and Management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D2BD94C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3716AA6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32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877B8D7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16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02503A9D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16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2EDBF650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lang w:val="en-US" w:eastAsia="zh-CN"/>
              </w:rPr>
              <w:t>秋</w:t>
            </w: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</w:rPr>
              <w:t>季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1BFDFFC4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考查</w:t>
            </w:r>
          </w:p>
        </w:tc>
      </w:tr>
      <w:tr w14:paraId="6A7EF9E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6" w:type="pct"/>
            <w:shd w:val="clear" w:color="auto" w:fill="auto"/>
            <w:vAlign w:val="center"/>
          </w:tcPr>
          <w:p w14:paraId="68CA1B82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604839</w:t>
            </w:r>
          </w:p>
        </w:tc>
        <w:tc>
          <w:tcPr>
            <w:tcW w:w="1322" w:type="pct"/>
            <w:shd w:val="clear" w:color="auto" w:fill="auto"/>
            <w:vAlign w:val="center"/>
          </w:tcPr>
          <w:p w14:paraId="41AB7C10">
            <w:pPr>
              <w:widowControl/>
              <w:spacing w:line="360" w:lineRule="auto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观赏鱼繁育与品种选育</w:t>
            </w:r>
          </w:p>
          <w:p w14:paraId="25C29F65">
            <w:pPr>
              <w:widowControl/>
              <w:spacing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Ornamental Fish Breeding and Variety Selection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0DE639A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77E87499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32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2A44DBD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16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640819FB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16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1761BE9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</w:rPr>
              <w:t>春季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0F52F72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考查</w:t>
            </w:r>
          </w:p>
        </w:tc>
      </w:tr>
      <w:tr w14:paraId="3A61AA4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6" w:type="pct"/>
            <w:shd w:val="clear" w:color="auto" w:fill="auto"/>
            <w:vAlign w:val="center"/>
          </w:tcPr>
          <w:p w14:paraId="28920266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604836</w:t>
            </w:r>
          </w:p>
        </w:tc>
        <w:tc>
          <w:tcPr>
            <w:tcW w:w="1322" w:type="pct"/>
            <w:shd w:val="clear" w:color="auto" w:fill="auto"/>
            <w:vAlign w:val="center"/>
          </w:tcPr>
          <w:p w14:paraId="5E348348">
            <w:pPr>
              <w:widowControl/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水族景观设计与造景实操</w:t>
            </w:r>
          </w:p>
          <w:p w14:paraId="546C7D5F">
            <w:pPr>
              <w:widowControl/>
              <w:spacing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</w:rPr>
              <w:t>Aquascaping Design and Practice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895E1B1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58E3AEB2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32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5EBB8F1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16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0F2FE3F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sz w:val="28"/>
                <w:szCs w:val="28"/>
              </w:rPr>
              <w:t>16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6DF17834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</w:rPr>
              <w:t>春季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7CE0B3F1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考查</w:t>
            </w:r>
          </w:p>
        </w:tc>
      </w:tr>
    </w:tbl>
    <w:p w14:paraId="5816928B">
      <w:pPr>
        <w:pStyle w:val="4"/>
        <w:widowControl/>
        <w:shd w:val="clear" w:color="auto" w:fill="FFFFFF"/>
        <w:spacing w:beforeAutospacing="0" w:afterAutospacing="0" w:line="576" w:lineRule="exact"/>
        <w:ind w:firstLine="562" w:firstLineChars="200"/>
        <w:rPr>
          <w:rFonts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  <w:t>五、收费</w:t>
      </w:r>
      <w:bookmarkStart w:id="0" w:name="_GoBack"/>
      <w:bookmarkEnd w:id="0"/>
    </w:p>
    <w:p w14:paraId="739A9FAB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学生修读微专业不收费。</w:t>
      </w:r>
    </w:p>
    <w:p w14:paraId="26B48CA8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六、修读年限及结业要求</w:t>
      </w:r>
    </w:p>
    <w:p w14:paraId="269CAA5E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观赏鱼微专业允许学生修读年限为1年，</w:t>
      </w:r>
      <w:r>
        <w:rPr>
          <w:rFonts w:hint="eastAsia" w:asciiTheme="minorEastAsia" w:hAnsiTheme="minorEastAsia" w:cstheme="minorEastAsia"/>
          <w:color w:val="auto"/>
          <w:sz w:val="28"/>
          <w:szCs w:val="28"/>
          <w:shd w:val="clear" w:color="auto" w:fill="FFFFFF"/>
        </w:rPr>
        <w:t>最长年限不超过</w:t>
      </w:r>
      <w:r>
        <w:rPr>
          <w:rFonts w:hint="eastAsia" w:asciiTheme="minorEastAsia" w:hAnsiTheme="minorEastAsia" w:cstheme="minorEastAsia"/>
          <w:color w:val="auto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Theme="minorEastAsia" w:hAnsiTheme="minorEastAsia" w:cstheme="minorEastAsia"/>
          <w:color w:val="auto"/>
          <w:sz w:val="28"/>
          <w:szCs w:val="28"/>
          <w:shd w:val="clear" w:color="auto" w:fill="FFFFFF"/>
        </w:rPr>
        <w:t>年，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学生需修满</w:t>
      </w: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10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学分。</w:t>
      </w:r>
    </w:p>
    <w:p w14:paraId="4BEED4FF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学生主修专业学业结束，无论毕业或者结业离</w:t>
      </w: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校，微专业学习同时终止。</w:t>
      </w:r>
    </w:p>
    <w:p w14:paraId="061ABFEA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学生在校期间完成微专业全部课程，获得规定学分，经学院审核，报本科生院审定，发放学校统一制作的微专业结业证书。微专业不在中国高等教育学生信息网（学信网）备注信息，不具有学士学位授予资格。</w:t>
      </w:r>
    </w:p>
    <w:p w14:paraId="5F79D2C6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七、联系人及联系方式</w:t>
      </w:r>
    </w:p>
    <w:p w14:paraId="5F97D816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asciiTheme="minorEastAsia" w:hAnsi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联 系 人：李老师</w:t>
      </w:r>
    </w:p>
    <w:p w14:paraId="007D3696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  <w:t>联系电话：</w:t>
      </w:r>
      <w:r>
        <w:rPr>
          <w:rFonts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  <w:t>15521030027</w:t>
      </w:r>
    </w:p>
    <w:p w14:paraId="38B4CB90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  <w:t>咨询地点：海洋学院2楼</w:t>
      </w:r>
    </w:p>
    <w:p w14:paraId="488DD01A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  <w:t>联系邮箱：xzlee@scau.edu.cn</w:t>
      </w:r>
    </w:p>
    <w:p w14:paraId="15233D31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微专业咨询群QQ群：</w:t>
      </w:r>
      <w:r>
        <w:rPr>
          <w:rFonts w:asciiTheme="minorEastAsia" w:hAnsiTheme="minorEastAsia" w:cstheme="minorEastAsia"/>
          <w:sz w:val="28"/>
          <w:szCs w:val="28"/>
        </w:rPr>
        <w:t>QQ</w:t>
      </w:r>
      <w:r>
        <w:rPr>
          <w:rFonts w:hint="eastAsia" w:asciiTheme="minorEastAsia" w:hAnsiTheme="minorEastAsia" w:cstheme="minorEastAsia"/>
          <w:sz w:val="28"/>
          <w:szCs w:val="28"/>
        </w:rPr>
        <w:t>群</w:t>
      </w:r>
      <w:r>
        <w:rPr>
          <w:rFonts w:asciiTheme="minorEastAsia" w:hAnsiTheme="minorEastAsia" w:cstheme="minorEastAsia"/>
          <w:sz w:val="28"/>
          <w:szCs w:val="28"/>
        </w:rPr>
        <w:t>948951198</w:t>
      </w:r>
    </w:p>
    <w:p w14:paraId="0CF95EA0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</w:p>
    <w:p w14:paraId="6CAAE31F">
      <w:pPr>
        <w:pStyle w:val="4"/>
        <w:widowControl/>
        <w:shd w:val="clear" w:color="auto" w:fill="FFFFFF"/>
        <w:spacing w:beforeAutospacing="0" w:afterAutospacing="0" w:line="576" w:lineRule="exact"/>
        <w:ind w:firstLine="562" w:firstLineChars="200"/>
        <w:rPr>
          <w:rFonts w:asciiTheme="minorEastAsia" w:hAnsiTheme="minorEastAsia" w:cstheme="minorEastAsia"/>
          <w:b/>
          <w:bCs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M3NDNlZDViZDI5YzVlMTZhYzFmZTEwNDA1YjFhMGYifQ=="/>
  </w:docVars>
  <w:rsids>
    <w:rsidRoot w:val="04334B83"/>
    <w:rsid w:val="0000640A"/>
    <w:rsid w:val="0009735C"/>
    <w:rsid w:val="000A4ADA"/>
    <w:rsid w:val="000E6FBB"/>
    <w:rsid w:val="00117B5B"/>
    <w:rsid w:val="00157B5B"/>
    <w:rsid w:val="00165B63"/>
    <w:rsid w:val="001A6B43"/>
    <w:rsid w:val="001D0240"/>
    <w:rsid w:val="002B30FE"/>
    <w:rsid w:val="00391E3F"/>
    <w:rsid w:val="00392F77"/>
    <w:rsid w:val="003D514D"/>
    <w:rsid w:val="00447459"/>
    <w:rsid w:val="00470EC5"/>
    <w:rsid w:val="004B18FE"/>
    <w:rsid w:val="00501905"/>
    <w:rsid w:val="00550E57"/>
    <w:rsid w:val="005644E4"/>
    <w:rsid w:val="005F56E6"/>
    <w:rsid w:val="0060071B"/>
    <w:rsid w:val="00686DAF"/>
    <w:rsid w:val="0069111D"/>
    <w:rsid w:val="006B2306"/>
    <w:rsid w:val="006C2FAE"/>
    <w:rsid w:val="006C382A"/>
    <w:rsid w:val="0088790A"/>
    <w:rsid w:val="008B3DD3"/>
    <w:rsid w:val="00972C31"/>
    <w:rsid w:val="00B009D2"/>
    <w:rsid w:val="00B47D18"/>
    <w:rsid w:val="00B916F1"/>
    <w:rsid w:val="00BB70B6"/>
    <w:rsid w:val="00BF20BE"/>
    <w:rsid w:val="00C0412F"/>
    <w:rsid w:val="00C86D19"/>
    <w:rsid w:val="00CC5FF1"/>
    <w:rsid w:val="00CF376C"/>
    <w:rsid w:val="00D612A4"/>
    <w:rsid w:val="00E874F1"/>
    <w:rsid w:val="00EA2DFF"/>
    <w:rsid w:val="00EB39F9"/>
    <w:rsid w:val="00F100F1"/>
    <w:rsid w:val="00F25EE0"/>
    <w:rsid w:val="00F40EE8"/>
    <w:rsid w:val="00FB28F9"/>
    <w:rsid w:val="00FB2BA9"/>
    <w:rsid w:val="00FF0D64"/>
    <w:rsid w:val="02BC09D9"/>
    <w:rsid w:val="039C2694"/>
    <w:rsid w:val="03AA4690"/>
    <w:rsid w:val="04334B83"/>
    <w:rsid w:val="04AE7B23"/>
    <w:rsid w:val="04DE75EE"/>
    <w:rsid w:val="04FC31F9"/>
    <w:rsid w:val="066A4DB1"/>
    <w:rsid w:val="0716337B"/>
    <w:rsid w:val="07D83540"/>
    <w:rsid w:val="0831340F"/>
    <w:rsid w:val="0A250B77"/>
    <w:rsid w:val="0B91625E"/>
    <w:rsid w:val="0CDB6B94"/>
    <w:rsid w:val="0D6A42D7"/>
    <w:rsid w:val="0E8813E4"/>
    <w:rsid w:val="0EDC78D8"/>
    <w:rsid w:val="10411247"/>
    <w:rsid w:val="107D093C"/>
    <w:rsid w:val="11853882"/>
    <w:rsid w:val="11923A7F"/>
    <w:rsid w:val="11DB7873"/>
    <w:rsid w:val="12BC08A4"/>
    <w:rsid w:val="137C040E"/>
    <w:rsid w:val="14C67D69"/>
    <w:rsid w:val="165B4580"/>
    <w:rsid w:val="179C3634"/>
    <w:rsid w:val="1825592A"/>
    <w:rsid w:val="19374690"/>
    <w:rsid w:val="19ED3D97"/>
    <w:rsid w:val="1C576A2A"/>
    <w:rsid w:val="1D3A5FA0"/>
    <w:rsid w:val="1E1B5ECB"/>
    <w:rsid w:val="1EA02281"/>
    <w:rsid w:val="205554B7"/>
    <w:rsid w:val="219E4D4F"/>
    <w:rsid w:val="23F15A42"/>
    <w:rsid w:val="24084BE1"/>
    <w:rsid w:val="24284E07"/>
    <w:rsid w:val="2777546E"/>
    <w:rsid w:val="278B7B24"/>
    <w:rsid w:val="2B194461"/>
    <w:rsid w:val="2D535F4B"/>
    <w:rsid w:val="2DD4236E"/>
    <w:rsid w:val="3185511C"/>
    <w:rsid w:val="31C36B3C"/>
    <w:rsid w:val="32050E69"/>
    <w:rsid w:val="32CF68B1"/>
    <w:rsid w:val="357701E3"/>
    <w:rsid w:val="3937218B"/>
    <w:rsid w:val="3A6A6793"/>
    <w:rsid w:val="3ADB4938"/>
    <w:rsid w:val="3DE65385"/>
    <w:rsid w:val="41DD1E03"/>
    <w:rsid w:val="42E416ED"/>
    <w:rsid w:val="4340510B"/>
    <w:rsid w:val="43FB7987"/>
    <w:rsid w:val="45A80A87"/>
    <w:rsid w:val="49EE48C3"/>
    <w:rsid w:val="4C5D29B3"/>
    <w:rsid w:val="4F5B365C"/>
    <w:rsid w:val="4F733683"/>
    <w:rsid w:val="52AF47A4"/>
    <w:rsid w:val="53881E71"/>
    <w:rsid w:val="54A502FA"/>
    <w:rsid w:val="54BB0C6D"/>
    <w:rsid w:val="565669E3"/>
    <w:rsid w:val="5B2E4AB8"/>
    <w:rsid w:val="5C0A522E"/>
    <w:rsid w:val="5C292707"/>
    <w:rsid w:val="5C2A2CE9"/>
    <w:rsid w:val="5C3830CF"/>
    <w:rsid w:val="5CB35A95"/>
    <w:rsid w:val="5CD337A7"/>
    <w:rsid w:val="5DE37B11"/>
    <w:rsid w:val="5F0C0C9D"/>
    <w:rsid w:val="62016E97"/>
    <w:rsid w:val="62186840"/>
    <w:rsid w:val="62C70D09"/>
    <w:rsid w:val="62F13FD7"/>
    <w:rsid w:val="63E94F70"/>
    <w:rsid w:val="6471484E"/>
    <w:rsid w:val="65511A64"/>
    <w:rsid w:val="665A1B55"/>
    <w:rsid w:val="673705B8"/>
    <w:rsid w:val="67CD2670"/>
    <w:rsid w:val="68951BA9"/>
    <w:rsid w:val="690C1B6B"/>
    <w:rsid w:val="6A1E6870"/>
    <w:rsid w:val="6C427834"/>
    <w:rsid w:val="6ECD477B"/>
    <w:rsid w:val="70594F28"/>
    <w:rsid w:val="71D1404E"/>
    <w:rsid w:val="736E2935"/>
    <w:rsid w:val="74200925"/>
    <w:rsid w:val="751356A3"/>
    <w:rsid w:val="76BB697E"/>
    <w:rsid w:val="77D446B3"/>
    <w:rsid w:val="786B1CDE"/>
    <w:rsid w:val="78A44B2D"/>
    <w:rsid w:val="796339F9"/>
    <w:rsid w:val="7BEE0865"/>
    <w:rsid w:val="7C4F3CBA"/>
    <w:rsid w:val="7E1C0ACE"/>
    <w:rsid w:val="7EAA3A98"/>
    <w:rsid w:val="7EAC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0">
    <w:name w:val="Table Paragraph"/>
    <w:qFormat/>
    <w:uiPriority w:val="1"/>
    <w:pPr>
      <w:widowControl w:val="0"/>
      <w:autoSpaceDE w:val="0"/>
      <w:autoSpaceDN w:val="0"/>
      <w:spacing w:before="35"/>
      <w:ind w:left="27"/>
      <w:jc w:val="center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customStyle="1" w:styleId="11">
    <w:name w:val="页眉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">
    <w:name w:val="未处理的提及2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5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1380</Words>
  <Characters>1449</Characters>
  <Lines>72</Lines>
  <Paragraphs>65</Paragraphs>
  <TotalTime>7</TotalTime>
  <ScaleCrop>false</ScaleCrop>
  <LinksUpToDate>false</LinksUpToDate>
  <CharactersWithSpaces>1455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2024-11-21T02:56:00Z</dcterms:created>
  <dc:creator>程国君</dc:creator>
  <cp:lastModifiedBy>赵朝晓</cp:lastModifiedBy>
  <cp:lastPrinted>2024-10-10T03:09:00Z</cp:lastPrinted>
  <dcterms:modified xsi:type="dcterms:W3CDTF">2026-06-26T03:22:21Z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A0B6BCE06EF64DABBDB3B0CCCC9A56B8_13</vt:lpwstr>
  </property>
  <property fmtid="{D5CDD505-2E9C-101B-9397-08002B2CF9AE}" pid="4" name="KSOTemplateDocerSaveRecord">
    <vt:lpwstr>eyJoZGlkIjoiNDdlMmU0M2IyYzBjMGY5YTU5NmMxOWZkNWFiYTE2Y2YiLCJ1c2VySWQiOiI0NjQ0NzgxNDMifQ==</vt:lpwstr>
  </property>
</Properties>
</file>