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C55A75">
      <w:pPr>
        <w:pStyle w:val="17"/>
        <w:rPr>
          <w:rFonts w:hint="eastAsia" w:ascii="宋体" w:hAnsi="宋体" w:eastAsia="宋体" w:cs="宋体"/>
          <w:sz w:val="24"/>
          <w:szCs w:val="24"/>
        </w:rPr>
      </w:pPr>
      <w:r>
        <w:rPr>
          <w:highlight w:val="none"/>
        </w:rPr>
        <w:t>“西班牙语</w:t>
      </w:r>
      <w:r>
        <w:rPr>
          <w:highlight w:val="none"/>
        </w:rPr>
        <w:t>”</w:t>
      </w:r>
      <w:r>
        <w:rPr>
          <w:highlight w:val="none"/>
        </w:rPr>
        <w:t>微</w:t>
      </w:r>
      <w:r>
        <w:rPr>
          <w:highlight w:val="none"/>
        </w:rPr>
        <w:t>专业</w:t>
      </w:r>
      <w:r>
        <w:rPr>
          <w:highlight w:val="none"/>
        </w:rPr>
        <w:t>招生简章</w:t>
      </w:r>
    </w:p>
    <w:p w14:paraId="201C933C">
      <w:pPr>
        <w:pStyle w:val="2"/>
        <w:numPr>
          <w:ilvl w:val="0"/>
          <w:numId w:val="1"/>
        </w:numPr>
        <w:topLinePunct w:val="0"/>
        <w:ind w:left="0" w:leftChars="0" w:firstLine="0" w:firstLineChars="0"/>
        <w:rPr>
          <w:rFonts w:hint="eastAsia" w:ascii="黑体" w:hAnsi="黑体" w:eastAsia="黑体" w:cs="黑体"/>
          <w:b w:val="0"/>
          <w:highlight w:val="none"/>
          <w:bdr w:val="none" w:sz="0" w:space="0"/>
        </w:rPr>
      </w:pPr>
      <w:r>
        <w:rPr>
          <w:highlight w:val="none"/>
        </w:rPr>
        <w:t>“西班牙语”微专业简介</w:t>
      </w:r>
    </w:p>
    <w:p w14:paraId="53403782">
      <w:pPr>
        <w:pStyle w:val="12"/>
        <w:rPr>
          <w:rFonts w:ascii="Times New Roman" w:hAnsi="Times New Roman" w:eastAsia="宋体" w:cs="Times New Roman"/>
          <w:sz w:val="24"/>
          <w:szCs w:val="24"/>
        </w:rPr>
      </w:pPr>
      <w:r>
        <w:rPr>
          <w:rFonts w:ascii="Times New Roman" w:hAnsi="Times New Roman" w:eastAsia="宋体" w:cs="Times New Roman"/>
          <w:sz w:val="24"/>
          <w:szCs w:val="24"/>
        </w:rPr>
        <w:t>西班牙语是全球第二大语言（按母语人数统计），使用范围广泛。它不仅是西班牙的国语，也是拉丁美洲19个国家的官方语言，并在美国及非洲多个地区拥有庞大使用人群。</w:t>
      </w:r>
    </w:p>
    <w:p w14:paraId="1D554A39">
      <w:pPr>
        <w:pStyle w:val="12"/>
        <w:rPr>
          <w:rFonts w:ascii="Times New Roman" w:hAnsi="Times New Roman" w:eastAsia="宋体" w:cs="Times New Roman"/>
          <w:sz w:val="24"/>
          <w:szCs w:val="24"/>
        </w:rPr>
      </w:pPr>
      <w:r>
        <w:rPr>
          <w:rFonts w:ascii="Times New Roman" w:hAnsi="Times New Roman" w:eastAsia="宋体" w:cs="Times New Roman"/>
          <w:sz w:val="24"/>
          <w:szCs w:val="24"/>
        </w:rPr>
        <w:t>随着“一带一路”倡议、“中拉论坛”合作机制以及“中拉命运共同体”的深入推进，我国对西班牙语人才的需求持续增长，就业前景十分广阔。2020年，华南农业大学牵头成立“中国-拉丁美洲农业教育科技创新联盟”（中拉联盟），推动我校与拉美地区的合作与交流不断深化。此背景下，外国语学院开设“西班牙语”微专业，旨在帮助学生获得与西班牙和拉美国家进行有效沟通的语言表达能力。</w:t>
      </w:r>
    </w:p>
    <w:p w14:paraId="09DECEB5">
      <w:pPr>
        <w:pStyle w:val="12"/>
        <w:rPr>
          <w:rFonts w:hint="default" w:ascii="宋体" w:hAnsi="宋体" w:eastAsia="宋体" w:cs="宋体"/>
          <w:sz w:val="24"/>
          <w:szCs w:val="24"/>
          <w:lang w:val="en-US" w:eastAsia="zh-CN"/>
        </w:rPr>
      </w:pPr>
      <w:r>
        <w:rPr>
          <w:rFonts w:ascii="Times New Roman" w:hAnsi="Times New Roman" w:eastAsia="宋体" w:cs="Times New Roman"/>
          <w:sz w:val="24"/>
          <w:szCs w:val="24"/>
        </w:rPr>
        <w:t>西班牙语语音和语法规律性强，入门相对容易。“西班牙语”微专业坚持“短时高效”的教学理念，重点提升学生的听、说、读、写、译及跨文化交际能力，为学生奠定自主进阶学习的基础，最终培养出具备西班牙语表达能力、文化适应能力及专业拓展潜力的复合型人才。完成课程后，学生可达到欧洲语言共同参考框架（CEFR）的A2+水平。</w:t>
      </w:r>
    </w:p>
    <w:p w14:paraId="0A7A147F">
      <w:pPr>
        <w:pStyle w:val="2"/>
        <w:numPr>
          <w:ilvl w:val="0"/>
          <w:numId w:val="1"/>
        </w:numPr>
        <w:topLinePunct w:val="0"/>
        <w:ind w:left="0" w:leftChars="0" w:firstLine="0" w:firstLineChars="0"/>
        <w:rPr>
          <w:rFonts w:hint="eastAsia" w:ascii="黑体" w:hAnsi="黑体" w:eastAsia="黑体" w:cs="黑体"/>
          <w:b w:val="0"/>
          <w:highlight w:val="none"/>
          <w:bdr w:val="none" w:sz="0" w:space="0"/>
        </w:rPr>
      </w:pPr>
      <w:r>
        <w:rPr>
          <w:highlight w:val="none"/>
        </w:rPr>
        <w:t>招生计划及要求</w:t>
      </w:r>
    </w:p>
    <w:p w14:paraId="350E55F0">
      <w:pPr>
        <w:pStyle w:val="12"/>
        <w:numPr>
          <w:ilvl w:val="0"/>
          <w:numId w:val="2"/>
        </w:numPr>
        <w:ind w:left="0" w:leftChars="0" w:firstLine="482" w:firstLineChars="0"/>
        <w:rPr>
          <w:rFonts w:ascii="Times New Roman" w:hAnsi="Times New Roman" w:eastAsia="宋体" w:cs="Times New Roman"/>
          <w:b/>
          <w:sz w:val="24"/>
          <w:szCs w:val="24"/>
          <w:bdr w:val="none" w:sz="0" w:space="0"/>
        </w:rPr>
      </w:pPr>
      <w:r>
        <w:rPr>
          <w:rFonts w:ascii="Times New Roman" w:hAnsi="Times New Roman" w:eastAsia="宋体" w:cs="Times New Roman"/>
          <w:b/>
          <w:sz w:val="24"/>
          <w:szCs w:val="24"/>
        </w:rPr>
        <w:t>招生对象：</w:t>
      </w:r>
      <w:r>
        <w:rPr>
          <w:rFonts w:ascii="Times New Roman" w:hAnsi="Times New Roman" w:eastAsia="宋体" w:cs="Times New Roman"/>
          <w:b w:val="0"/>
          <w:sz w:val="24"/>
          <w:szCs w:val="24"/>
        </w:rPr>
        <w:t>西班牙语零基础的在校</w:t>
      </w:r>
      <w:r>
        <w:rPr>
          <w:rFonts w:ascii="Times New Roman" w:hAnsi="Times New Roman" w:eastAsia="宋体" w:cs="Times New Roman"/>
          <w:sz w:val="24"/>
          <w:szCs w:val="24"/>
        </w:rPr>
        <w:t>全日制</w:t>
      </w:r>
      <w:r>
        <w:rPr>
          <w:rFonts w:ascii="Times New Roman" w:hAnsi="Times New Roman" w:eastAsia="宋体" w:cs="Times New Roman"/>
          <w:b w:val="0"/>
          <w:sz w:val="24"/>
          <w:szCs w:val="24"/>
        </w:rPr>
        <w:t>本科生</w:t>
      </w:r>
      <w:r>
        <w:rPr>
          <w:rFonts w:ascii="Times New Roman" w:hAnsi="Times New Roman" w:eastAsia="宋体" w:cs="Times New Roman"/>
          <w:sz w:val="24"/>
          <w:szCs w:val="24"/>
        </w:rPr>
        <w:t>，无主修专业限制。</w:t>
      </w:r>
    </w:p>
    <w:p w14:paraId="3A77D114">
      <w:pPr>
        <w:pStyle w:val="12"/>
        <w:numPr>
          <w:ilvl w:val="0"/>
          <w:numId w:val="2"/>
        </w:numPr>
        <w:ind w:left="0" w:leftChars="0" w:firstLine="482" w:firstLineChars="0"/>
        <w:rPr>
          <w:rFonts w:ascii="Times New Roman" w:hAnsi="Times New Roman" w:eastAsia="宋体" w:cs="Times New Roman"/>
          <w:b/>
          <w:sz w:val="24"/>
          <w:szCs w:val="24"/>
          <w:bdr w:val="none" w:sz="0" w:space="0"/>
        </w:rPr>
      </w:pPr>
      <w:r>
        <w:rPr>
          <w:rFonts w:ascii="Times New Roman" w:hAnsi="Times New Roman" w:eastAsia="宋体" w:cs="Times New Roman"/>
          <w:b/>
          <w:sz w:val="24"/>
          <w:szCs w:val="24"/>
        </w:rPr>
        <w:t>招生规模：</w:t>
      </w:r>
      <w:r>
        <w:rPr>
          <w:rFonts w:ascii="Times New Roman" w:hAnsi="Times New Roman" w:eastAsia="宋体" w:cs="Times New Roman"/>
          <w:b w:val="0"/>
          <w:sz w:val="24"/>
          <w:szCs w:val="24"/>
        </w:rPr>
        <w:t>2个班，共60人左右，每班约30人(若报名人数超额，择优录取)</w:t>
      </w:r>
    </w:p>
    <w:p w14:paraId="0FF0A86E">
      <w:pPr>
        <w:pStyle w:val="12"/>
        <w:numPr>
          <w:ilvl w:val="0"/>
          <w:numId w:val="2"/>
        </w:numPr>
        <w:ind w:left="0" w:leftChars="0" w:firstLine="482" w:firstLineChars="0"/>
        <w:rPr>
          <w:rFonts w:hint="eastAsia" w:ascii="宋体" w:hAnsi="宋体" w:eastAsia="宋体" w:cs="宋体"/>
          <w:sz w:val="24"/>
          <w:szCs w:val="24"/>
          <w:lang w:val="en-US" w:eastAsia="zh-CN"/>
        </w:rPr>
      </w:pPr>
      <w:r>
        <w:rPr>
          <w:rFonts w:ascii="Times New Roman" w:hAnsi="Times New Roman" w:eastAsia="宋体" w:cs="Times New Roman"/>
          <w:b/>
          <w:sz w:val="24"/>
          <w:szCs w:val="24"/>
        </w:rPr>
        <w:t>招生要求：</w:t>
      </w:r>
      <w:r>
        <w:rPr>
          <w:rFonts w:ascii="Times New Roman" w:hAnsi="Times New Roman" w:eastAsia="宋体" w:cs="Times New Roman"/>
          <w:sz w:val="24"/>
          <w:szCs w:val="24"/>
        </w:rPr>
        <w:t>要求报名者学有余力；对西班牙语及西班牙语国家文化具有浓厚兴趣；能够按要求完成所有课程，取得相应学分。</w:t>
      </w:r>
    </w:p>
    <w:p w14:paraId="2FC77AF9">
      <w:pPr>
        <w:pStyle w:val="2"/>
        <w:widowControl/>
        <w:numPr>
          <w:ilvl w:val="0"/>
          <w:numId w:val="1"/>
        </w:numPr>
        <w:shd w:val="clear" w:color="auto" w:fill="FFFFFF"/>
        <w:topLinePunct w:val="0"/>
        <w:ind w:left="0" w:leftChars="0" w:firstLine="0" w:firstLineChars="0"/>
        <w:rPr>
          <w:rFonts w:hint="eastAsia" w:ascii="黑体" w:hAnsi="黑体" w:eastAsia="黑体" w:cs="黑体"/>
          <w:b w:val="0"/>
          <w:highlight w:val="none"/>
          <w:bdr w:val="none" w:sz="0" w:space="0"/>
        </w:rPr>
      </w:pPr>
      <w:r>
        <w:rPr>
          <w:highlight w:val="none"/>
        </w:rPr>
        <w:t>报名与课程要求</w:t>
      </w:r>
    </w:p>
    <w:p w14:paraId="7B4DAC25">
      <w:pPr>
        <w:pStyle w:val="12"/>
        <w:numPr>
          <w:ilvl w:val="0"/>
          <w:numId w:val="3"/>
        </w:numPr>
        <w:ind w:left="0" w:leftChars="0" w:firstLine="482" w:firstLineChars="0"/>
        <w:rPr>
          <w:rFonts w:ascii="Times New Roman" w:hAnsi="Times New Roman" w:eastAsia="宋体" w:cs="Times New Roman"/>
          <w:b/>
          <w:sz w:val="24"/>
          <w:szCs w:val="24"/>
          <w:bdr w:val="none" w:sz="0" w:space="0"/>
        </w:rPr>
      </w:pPr>
      <w:r>
        <w:rPr>
          <w:rFonts w:ascii="Times New Roman" w:hAnsi="Times New Roman" w:eastAsia="宋体" w:cs="Times New Roman"/>
          <w:b/>
          <w:sz w:val="24"/>
          <w:szCs w:val="24"/>
        </w:rPr>
        <w:t>报名：</w:t>
      </w:r>
      <w:r>
        <w:rPr>
          <w:rFonts w:ascii="Times New Roman" w:hAnsi="Times New Roman" w:eastAsia="宋体" w:cs="Times New Roman"/>
          <w:sz w:val="24"/>
          <w:szCs w:val="24"/>
        </w:rPr>
        <w:t>按本科生院通知时间和方式进行报名。</w:t>
      </w:r>
    </w:p>
    <w:p w14:paraId="3D64A5C4">
      <w:pPr>
        <w:pStyle w:val="12"/>
        <w:widowControl/>
        <w:numPr>
          <w:ilvl w:val="0"/>
          <w:numId w:val="3"/>
        </w:numPr>
        <w:ind w:left="0" w:leftChars="0" w:firstLine="482" w:firstLineChars="0"/>
        <w:rPr>
          <w:rFonts w:ascii="Times New Roman" w:hAnsi="Times New Roman" w:eastAsia="宋体" w:cs="Times New Roman"/>
          <w:b/>
          <w:sz w:val="24"/>
          <w:szCs w:val="24"/>
          <w:bdr w:val="none" w:sz="0" w:space="0"/>
        </w:rPr>
      </w:pPr>
      <w:r>
        <w:rPr>
          <w:rFonts w:ascii="Times New Roman" w:hAnsi="Times New Roman" w:eastAsia="宋体" w:cs="Times New Roman"/>
          <w:b/>
          <w:sz w:val="24"/>
          <w:szCs w:val="24"/>
        </w:rPr>
        <w:t>课程要求：</w:t>
      </w:r>
    </w:p>
    <w:p w14:paraId="3D2E2F88">
      <w:pPr>
        <w:pStyle w:val="12"/>
        <w:widowControl/>
        <w:rPr>
          <w:rFonts w:ascii="Times New Roman" w:hAnsi="Times New Roman" w:eastAsia="宋体" w:cs="Times New Roman"/>
          <w:b w:val="0"/>
          <w:sz w:val="24"/>
          <w:szCs w:val="24"/>
          <w:u w:val="none"/>
        </w:rPr>
      </w:pPr>
      <w:r>
        <w:rPr>
          <w:rFonts w:ascii="Times New Roman" w:hAnsi="Times New Roman" w:eastAsia="宋体" w:cs="Times New Roman"/>
          <w:b w:val="0"/>
          <w:sz w:val="24"/>
          <w:szCs w:val="24"/>
          <w:u w:val="none"/>
        </w:rPr>
        <w:t>每位学生限报1个微专业</w:t>
      </w:r>
    </w:p>
    <w:p w14:paraId="4030F955">
      <w:pPr>
        <w:pStyle w:val="12"/>
        <w:widowControl/>
        <w:rPr>
          <w:rFonts w:ascii="Times New Roman" w:hAnsi="Times New Roman" w:eastAsia="宋体" w:cs="Times New Roman"/>
          <w:sz w:val="24"/>
          <w:szCs w:val="24"/>
        </w:rPr>
      </w:pPr>
      <w:r>
        <w:rPr>
          <w:rFonts w:ascii="Times New Roman" w:hAnsi="Times New Roman" w:eastAsia="宋体" w:cs="Times New Roman"/>
          <w:sz w:val="24"/>
          <w:szCs w:val="24"/>
        </w:rPr>
        <w:t>课程要求按《华南农业大学微专业建设管理办法（试行）（华南农办〔2024〕36号）》执行。</w:t>
      </w:r>
    </w:p>
    <w:p w14:paraId="4F58478D">
      <w:pPr>
        <w:pStyle w:val="12"/>
        <w:widowControl/>
        <w:rPr>
          <w:rFonts w:ascii="Times New Roman" w:hAnsi="Times New Roman" w:eastAsia="宋体" w:cs="Times New Roman"/>
          <w:sz w:val="24"/>
          <w:szCs w:val="24"/>
        </w:rPr>
      </w:pPr>
      <w:r>
        <w:rPr>
          <w:rFonts w:ascii="Times New Roman" w:hAnsi="Times New Roman" w:eastAsia="宋体" w:cs="Times New Roman"/>
          <w:sz w:val="24"/>
          <w:szCs w:val="24"/>
        </w:rPr>
        <w:t>微专业课程成绩评定按《华南农业大学本科课程考核管理规定》执行。学生微专业课程考核成绩纳入学校教务管理平台；微专业课程</w:t>
      </w:r>
      <w:r>
        <w:rPr>
          <w:rFonts w:ascii="Times New Roman" w:hAnsi="Times New Roman" w:eastAsia="宋体" w:cs="Times New Roman"/>
          <w:b w:val="0"/>
          <w:sz w:val="24"/>
          <w:szCs w:val="24"/>
          <w:u w:val="none"/>
        </w:rPr>
        <w:t>不能申请免修或免听；</w:t>
      </w:r>
      <w:r>
        <w:rPr>
          <w:rFonts w:ascii="Times New Roman" w:hAnsi="Times New Roman" w:eastAsia="宋体" w:cs="Times New Roman"/>
          <w:sz w:val="24"/>
          <w:szCs w:val="24"/>
        </w:rPr>
        <w:t>微专业成绩单单列，不纳入学生综合测评。</w:t>
      </w:r>
    </w:p>
    <w:p w14:paraId="320C3094">
      <w:pPr>
        <w:pStyle w:val="2"/>
        <w:numPr>
          <w:ilvl w:val="0"/>
          <w:numId w:val="1"/>
        </w:numPr>
        <w:topLinePunct w:val="0"/>
        <w:ind w:left="0" w:leftChars="0" w:firstLine="0" w:firstLineChars="0"/>
        <w:rPr>
          <w:rFonts w:hint="eastAsia" w:ascii="黑体" w:hAnsi="黑体" w:eastAsia="黑体" w:cs="黑体"/>
          <w:b w:val="0"/>
          <w:highlight w:val="none"/>
          <w:bdr w:val="none" w:sz="0" w:space="0"/>
        </w:rPr>
      </w:pPr>
      <w:r>
        <w:rPr>
          <w:highlight w:val="none"/>
        </w:rPr>
        <w:t>开设课程及授课时间</w:t>
      </w:r>
    </w:p>
    <w:p w14:paraId="6D5EBD27">
      <w:pPr>
        <w:pStyle w:val="12"/>
        <w:numPr>
          <w:ilvl w:val="0"/>
          <w:numId w:val="4"/>
        </w:numPr>
        <w:ind w:left="0" w:leftChars="0" w:firstLine="482" w:firstLineChars="0"/>
        <w:rPr>
          <w:rFonts w:ascii="Times New Roman" w:hAnsi="Times New Roman" w:eastAsia="宋体" w:cs="Times New Roman"/>
          <w:b/>
          <w:sz w:val="24"/>
          <w:szCs w:val="24"/>
          <w:bdr w:val="none" w:sz="0" w:space="0"/>
        </w:rPr>
      </w:pPr>
      <w:r>
        <w:rPr>
          <w:rFonts w:ascii="Times New Roman" w:hAnsi="Times New Roman" w:eastAsia="宋体" w:cs="Times New Roman"/>
          <w:b/>
          <w:sz w:val="24"/>
          <w:szCs w:val="24"/>
        </w:rPr>
        <w:t>课程设置：</w:t>
      </w:r>
      <w:r>
        <w:rPr>
          <w:rFonts w:ascii="Times New Roman" w:hAnsi="Times New Roman" w:eastAsia="宋体" w:cs="Times New Roman"/>
          <w:b w:val="0"/>
          <w:sz w:val="24"/>
          <w:szCs w:val="24"/>
        </w:rPr>
        <w:t>“西班牙语”微专业开设6门课程，共12学分：</w:t>
      </w:r>
    </w:p>
    <w:tbl>
      <w:tblPr>
        <w:tblStyle w:val="19"/>
        <w:tblpPr w:leftFromText="180" w:rightFromText="180" w:vertAnchor="text" w:horzAnchor="page" w:tblpXSpec="center" w:tblpY="167"/>
        <w:tblOverlap w:val="never"/>
        <w:tblW w:w="8136" w:type="dxa"/>
        <w:tblInd w:w="1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3"/>
        <w:gridCol w:w="3350"/>
        <w:gridCol w:w="803"/>
        <w:gridCol w:w="785"/>
        <w:gridCol w:w="1825"/>
      </w:tblGrid>
      <w:tr w14:paraId="730DD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shd w:val="clear" w:color="auto" w:fill="auto"/>
            <w:noWrap w:val="0"/>
            <w:vAlign w:val="top"/>
          </w:tcPr>
          <w:p w14:paraId="02BADA11">
            <w:pPr>
              <w:widowControl/>
              <w:spacing w:line="360" w:lineRule="auto"/>
              <w:jc w:val="center"/>
              <w:rPr>
                <w:rFonts w:hint="default" w:ascii="仿宋_GB2312" w:hAnsi="宋体" w:eastAsia="仿宋_GB2312" w:cs="宋体"/>
                <w:b/>
                <w:bCs/>
                <w:kern w:val="2"/>
                <w:sz w:val="24"/>
                <w:szCs w:val="28"/>
                <w:lang w:val="en-US" w:eastAsia="zh-CN" w:bidi="ar-SA"/>
              </w:rPr>
            </w:pPr>
            <w:r>
              <w:rPr>
                <w:rFonts w:hint="eastAsia" w:ascii="仿宋_GB2312" w:eastAsia="仿宋_GB2312" w:cs="宋体"/>
                <w:b/>
                <w:bCs/>
                <w:kern w:val="2"/>
                <w:sz w:val="24"/>
                <w:szCs w:val="28"/>
                <w:lang w:val="en-US" w:eastAsia="zh-CN" w:bidi="ar-SA"/>
              </w:rPr>
              <w:t>课程代码</w:t>
            </w:r>
          </w:p>
        </w:tc>
        <w:tc>
          <w:tcPr>
            <w:tcW w:w="3350" w:type="dxa"/>
            <w:noWrap w:val="0"/>
            <w:vAlign w:val="top"/>
          </w:tcPr>
          <w:p w14:paraId="7197F04F">
            <w:pPr>
              <w:widowControl/>
              <w:spacing w:line="360" w:lineRule="auto"/>
              <w:jc w:val="center"/>
              <w:rPr>
                <w:rFonts w:ascii="仿宋_GB2312" w:eastAsia="仿宋_GB2312"/>
                <w:b/>
                <w:bCs/>
                <w:sz w:val="24"/>
              </w:rPr>
            </w:pPr>
            <w:r>
              <w:rPr>
                <w:rFonts w:hint="eastAsia" w:ascii="仿宋_GB2312" w:eastAsia="仿宋_GB2312"/>
                <w:b/>
                <w:bCs/>
                <w:sz w:val="24"/>
              </w:rPr>
              <w:t>课程名称</w:t>
            </w:r>
          </w:p>
        </w:tc>
        <w:tc>
          <w:tcPr>
            <w:tcW w:w="803" w:type="dxa"/>
            <w:noWrap w:val="0"/>
            <w:vAlign w:val="top"/>
          </w:tcPr>
          <w:p w14:paraId="68E88269">
            <w:pPr>
              <w:widowControl/>
              <w:spacing w:line="360" w:lineRule="auto"/>
              <w:jc w:val="center"/>
              <w:rPr>
                <w:rFonts w:ascii="仿宋_GB2312" w:eastAsia="仿宋_GB2312"/>
                <w:b/>
                <w:bCs/>
                <w:sz w:val="24"/>
              </w:rPr>
            </w:pPr>
            <w:r>
              <w:rPr>
                <w:rFonts w:hint="eastAsia" w:ascii="仿宋_GB2312" w:eastAsia="仿宋_GB2312"/>
                <w:b/>
                <w:bCs/>
                <w:sz w:val="24"/>
              </w:rPr>
              <w:t>学时</w:t>
            </w:r>
          </w:p>
        </w:tc>
        <w:tc>
          <w:tcPr>
            <w:tcW w:w="785" w:type="dxa"/>
            <w:noWrap w:val="0"/>
            <w:vAlign w:val="top"/>
          </w:tcPr>
          <w:p w14:paraId="1071E9BB">
            <w:pPr>
              <w:widowControl/>
              <w:spacing w:line="360" w:lineRule="auto"/>
              <w:jc w:val="center"/>
              <w:rPr>
                <w:rFonts w:ascii="仿宋_GB2312" w:eastAsia="仿宋_GB2312"/>
                <w:b/>
                <w:bCs/>
                <w:sz w:val="24"/>
              </w:rPr>
            </w:pPr>
            <w:r>
              <w:rPr>
                <w:rFonts w:hint="eastAsia" w:ascii="仿宋_GB2312" w:eastAsia="仿宋_GB2312"/>
                <w:b/>
                <w:bCs/>
                <w:sz w:val="24"/>
              </w:rPr>
              <w:t>学分</w:t>
            </w:r>
          </w:p>
        </w:tc>
        <w:tc>
          <w:tcPr>
            <w:tcW w:w="1825" w:type="dxa"/>
            <w:noWrap w:val="0"/>
            <w:vAlign w:val="top"/>
          </w:tcPr>
          <w:p w14:paraId="185026AC">
            <w:pPr>
              <w:widowControl/>
              <w:spacing w:line="360" w:lineRule="auto"/>
              <w:jc w:val="center"/>
              <w:rPr>
                <w:rFonts w:ascii="仿宋_GB2312" w:eastAsia="仿宋_GB2312"/>
                <w:b/>
                <w:bCs/>
                <w:sz w:val="24"/>
              </w:rPr>
            </w:pPr>
            <w:r>
              <w:rPr>
                <w:rFonts w:hint="eastAsia" w:ascii="仿宋_GB2312" w:eastAsia="仿宋_GB2312"/>
                <w:b/>
                <w:bCs/>
                <w:sz w:val="24"/>
              </w:rPr>
              <w:t>开课学期</w:t>
            </w:r>
          </w:p>
        </w:tc>
      </w:tr>
      <w:tr w14:paraId="0A4F4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shd w:val="clear" w:color="auto" w:fill="FBE6D6" w:themeFill="accent2" w:themeFillTint="32"/>
            <w:noWrap w:val="0"/>
            <w:vAlign w:val="top"/>
          </w:tcPr>
          <w:p w14:paraId="564DB6D5">
            <w:pPr>
              <w:widowControl/>
              <w:spacing w:line="360" w:lineRule="auto"/>
              <w:jc w:val="center"/>
              <w:rPr>
                <w:rFonts w:hint="default" w:ascii="仿宋_GB2312" w:hAnsi="宋体" w:eastAsia="仿宋_GB2312" w:cs="宋体"/>
                <w:b w:val="0"/>
                <w:bCs w:val="0"/>
                <w:kern w:val="2"/>
                <w:sz w:val="22"/>
                <w:szCs w:val="18"/>
                <w:lang w:val="en-US" w:eastAsia="zh-CN" w:bidi="ar-SA"/>
              </w:rPr>
            </w:pPr>
            <w:r>
              <w:rPr>
                <w:rFonts w:hint="eastAsia" w:ascii="仿宋_GB2312" w:eastAsia="仿宋_GB2312" w:cs="宋体"/>
                <w:b w:val="0"/>
                <w:bCs w:val="0"/>
                <w:kern w:val="2"/>
                <w:sz w:val="22"/>
                <w:szCs w:val="18"/>
                <w:lang w:val="en-US" w:eastAsia="zh-CN" w:bidi="ar-SA"/>
              </w:rPr>
              <w:t>604552</w:t>
            </w:r>
          </w:p>
        </w:tc>
        <w:tc>
          <w:tcPr>
            <w:tcW w:w="3350" w:type="dxa"/>
            <w:shd w:val="clear" w:color="auto" w:fill="FBE6D6" w:themeFill="accent2" w:themeFillTint="32"/>
            <w:noWrap w:val="0"/>
            <w:vAlign w:val="top"/>
          </w:tcPr>
          <w:p w14:paraId="6EEC6206">
            <w:pPr>
              <w:widowControl/>
              <w:spacing w:line="360" w:lineRule="auto"/>
              <w:jc w:val="center"/>
              <w:rPr>
                <w:rFonts w:hint="default" w:ascii="仿宋_GB2312" w:eastAsia="仿宋_GB2312"/>
                <w:b w:val="0"/>
                <w:bCs w:val="0"/>
                <w:sz w:val="24"/>
                <w:lang w:val="en-US" w:eastAsia="zh-CN"/>
              </w:rPr>
            </w:pPr>
            <w:r>
              <w:rPr>
                <w:rFonts w:hint="eastAsia" w:ascii="仿宋_GB2312" w:eastAsia="仿宋_GB2312"/>
                <w:b w:val="0"/>
                <w:bCs w:val="0"/>
                <w:sz w:val="24"/>
                <w:lang w:val="en-US" w:eastAsia="zh-CN"/>
              </w:rPr>
              <w:t>基础西班牙语I</w:t>
            </w:r>
          </w:p>
        </w:tc>
        <w:tc>
          <w:tcPr>
            <w:tcW w:w="803" w:type="dxa"/>
            <w:shd w:val="clear" w:color="auto" w:fill="FBE6D6" w:themeFill="accent2" w:themeFillTint="32"/>
            <w:noWrap w:val="0"/>
            <w:vAlign w:val="top"/>
          </w:tcPr>
          <w:p w14:paraId="377752F8">
            <w:pPr>
              <w:widowControl/>
              <w:spacing w:line="360" w:lineRule="auto"/>
              <w:jc w:val="center"/>
              <w:rPr>
                <w:rFonts w:hint="default" w:ascii="仿宋_GB2312" w:eastAsia="仿宋_GB2312"/>
                <w:b w:val="0"/>
                <w:bCs w:val="0"/>
                <w:sz w:val="24"/>
                <w:highlight w:val="none"/>
                <w:lang w:val="en-US" w:eastAsia="zh-CN"/>
              </w:rPr>
            </w:pPr>
            <w:r>
              <w:rPr>
                <w:rFonts w:hint="eastAsia" w:ascii="仿宋_GB2312" w:eastAsia="仿宋_GB2312"/>
                <w:b w:val="0"/>
                <w:bCs w:val="0"/>
                <w:sz w:val="24"/>
                <w:highlight w:val="none"/>
                <w:lang w:val="en-US" w:eastAsia="zh-CN"/>
              </w:rPr>
              <w:t>32</w:t>
            </w:r>
          </w:p>
        </w:tc>
        <w:tc>
          <w:tcPr>
            <w:tcW w:w="785" w:type="dxa"/>
            <w:shd w:val="clear" w:color="auto" w:fill="FBE6D6" w:themeFill="accent2" w:themeFillTint="32"/>
            <w:noWrap w:val="0"/>
            <w:vAlign w:val="top"/>
          </w:tcPr>
          <w:p w14:paraId="54D32126">
            <w:pPr>
              <w:widowControl/>
              <w:spacing w:line="360" w:lineRule="auto"/>
              <w:jc w:val="center"/>
              <w:rPr>
                <w:rFonts w:hint="eastAsia" w:ascii="仿宋_GB2312" w:eastAsia="仿宋_GB2312"/>
                <w:b w:val="0"/>
                <w:bCs w:val="0"/>
                <w:sz w:val="24"/>
                <w:highlight w:val="none"/>
                <w:lang w:val="en-US" w:eastAsia="zh-CN"/>
              </w:rPr>
            </w:pPr>
            <w:r>
              <w:rPr>
                <w:rFonts w:hint="eastAsia" w:ascii="仿宋_GB2312" w:eastAsia="仿宋_GB2312"/>
                <w:b w:val="0"/>
                <w:bCs w:val="0"/>
                <w:sz w:val="24"/>
                <w:highlight w:val="none"/>
                <w:lang w:val="en-US" w:eastAsia="zh-CN"/>
              </w:rPr>
              <w:t>2</w:t>
            </w:r>
          </w:p>
        </w:tc>
        <w:tc>
          <w:tcPr>
            <w:tcW w:w="1825" w:type="dxa"/>
            <w:shd w:val="clear" w:color="auto" w:fill="FBE6D6" w:themeFill="accent2" w:themeFillTint="32"/>
            <w:noWrap w:val="0"/>
            <w:vAlign w:val="top"/>
          </w:tcPr>
          <w:p w14:paraId="641F57E9">
            <w:pPr>
              <w:widowControl/>
              <w:spacing w:line="360" w:lineRule="auto"/>
              <w:jc w:val="center"/>
              <w:rPr>
                <w:rFonts w:hint="default" w:ascii="仿宋_GB2312" w:eastAsia="仿宋_GB2312"/>
                <w:b/>
                <w:bCs/>
                <w:sz w:val="24"/>
                <w:lang w:val="en-US" w:eastAsia="zh-CN"/>
              </w:rPr>
            </w:pPr>
            <w:r>
              <w:rPr>
                <w:rFonts w:hint="eastAsia" w:ascii="仿宋_GB2312" w:eastAsia="仿宋_GB2312"/>
                <w:b w:val="0"/>
                <w:bCs w:val="0"/>
                <w:sz w:val="22"/>
                <w:szCs w:val="18"/>
                <w:lang w:val="en-US" w:eastAsia="zh-CN"/>
              </w:rPr>
              <w:t>2026秋季学期</w:t>
            </w:r>
          </w:p>
        </w:tc>
      </w:tr>
      <w:tr w14:paraId="05B57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shd w:val="clear" w:color="auto" w:fill="FBE6D6" w:themeFill="accent2" w:themeFillTint="32"/>
            <w:noWrap w:val="0"/>
            <w:vAlign w:val="top"/>
          </w:tcPr>
          <w:p w14:paraId="3C7CE607">
            <w:pPr>
              <w:widowControl/>
              <w:spacing w:line="360" w:lineRule="auto"/>
              <w:jc w:val="center"/>
              <w:rPr>
                <w:rFonts w:hint="default" w:ascii="仿宋_GB2312" w:hAnsi="宋体" w:eastAsia="仿宋_GB2312" w:cs="宋体"/>
                <w:b w:val="0"/>
                <w:bCs w:val="0"/>
                <w:kern w:val="2"/>
                <w:sz w:val="22"/>
                <w:szCs w:val="18"/>
                <w:lang w:val="en-US" w:eastAsia="zh-CN" w:bidi="ar-SA"/>
              </w:rPr>
            </w:pPr>
            <w:r>
              <w:rPr>
                <w:rFonts w:hint="eastAsia" w:ascii="仿宋_GB2312" w:eastAsia="仿宋_GB2312" w:cs="宋体"/>
                <w:b w:val="0"/>
                <w:bCs w:val="0"/>
                <w:kern w:val="2"/>
                <w:sz w:val="22"/>
                <w:szCs w:val="18"/>
                <w:lang w:val="en-US" w:eastAsia="zh-CN" w:bidi="ar-SA"/>
              </w:rPr>
              <w:t>604550</w:t>
            </w:r>
          </w:p>
        </w:tc>
        <w:tc>
          <w:tcPr>
            <w:tcW w:w="3350" w:type="dxa"/>
            <w:shd w:val="clear" w:color="auto" w:fill="FBE6D6" w:themeFill="accent2" w:themeFillTint="32"/>
            <w:noWrap w:val="0"/>
            <w:vAlign w:val="top"/>
          </w:tcPr>
          <w:p w14:paraId="411AAD0B">
            <w:pPr>
              <w:widowControl/>
              <w:spacing w:line="360" w:lineRule="auto"/>
              <w:jc w:val="center"/>
              <w:rPr>
                <w:rFonts w:hint="default" w:ascii="仿宋_GB2312" w:hAnsi="宋体" w:eastAsia="仿宋_GB2312" w:cs="宋体"/>
                <w:b w:val="0"/>
                <w:bCs w:val="0"/>
                <w:kern w:val="2"/>
                <w:sz w:val="24"/>
                <w:szCs w:val="28"/>
                <w:lang w:val="en-US" w:eastAsia="zh-CN" w:bidi="ar-SA"/>
              </w:rPr>
            </w:pPr>
            <w:r>
              <w:rPr>
                <w:rFonts w:hint="eastAsia" w:ascii="仿宋_GB2312" w:eastAsia="仿宋_GB2312"/>
                <w:b w:val="0"/>
                <w:bCs w:val="0"/>
                <w:sz w:val="24"/>
                <w:lang w:val="en-US" w:eastAsia="zh-CN"/>
              </w:rPr>
              <w:t>西班牙语视听说 I</w:t>
            </w:r>
          </w:p>
        </w:tc>
        <w:tc>
          <w:tcPr>
            <w:tcW w:w="803" w:type="dxa"/>
            <w:shd w:val="clear" w:color="auto" w:fill="FBE6D6" w:themeFill="accent2" w:themeFillTint="32"/>
            <w:noWrap w:val="0"/>
            <w:vAlign w:val="top"/>
          </w:tcPr>
          <w:p w14:paraId="432302DC">
            <w:pPr>
              <w:widowControl/>
              <w:spacing w:line="360" w:lineRule="auto"/>
              <w:jc w:val="center"/>
              <w:rPr>
                <w:rFonts w:ascii="仿宋_GB2312" w:hAnsi="宋体" w:eastAsia="仿宋_GB2312" w:cs="宋体"/>
                <w:b w:val="0"/>
                <w:bCs w:val="0"/>
                <w:kern w:val="2"/>
                <w:sz w:val="24"/>
                <w:szCs w:val="28"/>
                <w:highlight w:val="none"/>
                <w:lang w:val="en-US" w:eastAsia="zh-CN" w:bidi="ar-SA"/>
              </w:rPr>
            </w:pPr>
            <w:r>
              <w:rPr>
                <w:rFonts w:hint="eastAsia" w:ascii="仿宋_GB2312" w:eastAsia="仿宋_GB2312"/>
                <w:b w:val="0"/>
                <w:bCs w:val="0"/>
                <w:sz w:val="24"/>
                <w:highlight w:val="none"/>
                <w:lang w:val="en-US" w:eastAsia="zh-CN"/>
              </w:rPr>
              <w:t>32</w:t>
            </w:r>
          </w:p>
        </w:tc>
        <w:tc>
          <w:tcPr>
            <w:tcW w:w="785" w:type="dxa"/>
            <w:shd w:val="clear" w:color="auto" w:fill="FBE6D6" w:themeFill="accent2" w:themeFillTint="32"/>
            <w:noWrap w:val="0"/>
            <w:vAlign w:val="top"/>
          </w:tcPr>
          <w:p w14:paraId="5435D96A">
            <w:pPr>
              <w:widowControl/>
              <w:spacing w:line="360" w:lineRule="auto"/>
              <w:jc w:val="center"/>
              <w:rPr>
                <w:rFonts w:hint="eastAsia" w:ascii="仿宋_GB2312" w:hAnsi="宋体" w:eastAsia="仿宋_GB2312" w:cs="宋体"/>
                <w:b w:val="0"/>
                <w:bCs w:val="0"/>
                <w:kern w:val="2"/>
                <w:sz w:val="24"/>
                <w:szCs w:val="28"/>
                <w:highlight w:val="none"/>
                <w:lang w:val="en-US" w:eastAsia="zh-CN" w:bidi="ar-SA"/>
              </w:rPr>
            </w:pPr>
            <w:r>
              <w:rPr>
                <w:rFonts w:hint="eastAsia" w:ascii="仿宋_GB2312" w:eastAsia="仿宋_GB2312"/>
                <w:b w:val="0"/>
                <w:bCs w:val="0"/>
                <w:sz w:val="24"/>
                <w:highlight w:val="none"/>
                <w:lang w:val="en-US" w:eastAsia="zh-CN"/>
              </w:rPr>
              <w:t>2</w:t>
            </w:r>
          </w:p>
        </w:tc>
        <w:tc>
          <w:tcPr>
            <w:tcW w:w="1825" w:type="dxa"/>
            <w:shd w:val="clear" w:color="auto" w:fill="FBE6D6" w:themeFill="accent2" w:themeFillTint="32"/>
            <w:noWrap w:val="0"/>
            <w:vAlign w:val="top"/>
          </w:tcPr>
          <w:p w14:paraId="04394F7C">
            <w:pPr>
              <w:widowControl/>
              <w:spacing w:line="360" w:lineRule="auto"/>
              <w:jc w:val="center"/>
              <w:rPr>
                <w:rFonts w:hint="default" w:ascii="仿宋_GB2312" w:hAnsi="宋体" w:eastAsia="仿宋_GB2312" w:cs="宋体"/>
                <w:b/>
                <w:bCs/>
                <w:kern w:val="2"/>
                <w:sz w:val="24"/>
                <w:szCs w:val="28"/>
                <w:lang w:val="en-US" w:eastAsia="zh-CN" w:bidi="ar-SA"/>
              </w:rPr>
            </w:pPr>
            <w:r>
              <w:rPr>
                <w:rFonts w:hint="eastAsia" w:ascii="仿宋_GB2312" w:eastAsia="仿宋_GB2312"/>
                <w:b w:val="0"/>
                <w:bCs w:val="0"/>
                <w:sz w:val="22"/>
                <w:szCs w:val="18"/>
                <w:lang w:val="en-US" w:eastAsia="zh-CN"/>
              </w:rPr>
              <w:t>2026秋季学期</w:t>
            </w:r>
          </w:p>
        </w:tc>
      </w:tr>
      <w:tr w14:paraId="54581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shd w:val="clear" w:color="auto" w:fill="FBE6D6" w:themeFill="accent2" w:themeFillTint="32"/>
            <w:noWrap w:val="0"/>
            <w:vAlign w:val="top"/>
          </w:tcPr>
          <w:p w14:paraId="2ADFD352">
            <w:pPr>
              <w:widowControl/>
              <w:spacing w:line="360" w:lineRule="auto"/>
              <w:jc w:val="center"/>
              <w:rPr>
                <w:rFonts w:hint="default" w:ascii="仿宋_GB2312" w:hAnsi="宋体" w:eastAsia="仿宋_GB2312" w:cs="宋体"/>
                <w:b w:val="0"/>
                <w:bCs w:val="0"/>
                <w:kern w:val="2"/>
                <w:sz w:val="22"/>
                <w:szCs w:val="18"/>
                <w:lang w:val="en-US" w:eastAsia="zh-CN" w:bidi="ar-SA"/>
              </w:rPr>
            </w:pPr>
            <w:r>
              <w:rPr>
                <w:rFonts w:hint="eastAsia" w:ascii="仿宋_GB2312" w:eastAsia="仿宋_GB2312" w:cs="宋体"/>
                <w:b w:val="0"/>
                <w:bCs w:val="0"/>
                <w:kern w:val="2"/>
                <w:sz w:val="22"/>
                <w:szCs w:val="18"/>
                <w:lang w:val="en-US" w:eastAsia="zh-CN" w:bidi="ar-SA"/>
              </w:rPr>
              <w:t>604556</w:t>
            </w:r>
          </w:p>
        </w:tc>
        <w:tc>
          <w:tcPr>
            <w:tcW w:w="3350" w:type="dxa"/>
            <w:shd w:val="clear" w:color="auto" w:fill="FBE6D6" w:themeFill="accent2" w:themeFillTint="32"/>
            <w:noWrap w:val="0"/>
            <w:vAlign w:val="top"/>
          </w:tcPr>
          <w:p w14:paraId="424E7F60">
            <w:pPr>
              <w:widowControl/>
              <w:spacing w:line="360" w:lineRule="auto"/>
              <w:jc w:val="center"/>
              <w:rPr>
                <w:rFonts w:hint="default" w:ascii="仿宋_GB2312" w:hAnsi="宋体" w:eastAsia="仿宋_GB2312" w:cs="宋体"/>
                <w:b w:val="0"/>
                <w:bCs w:val="0"/>
                <w:kern w:val="2"/>
                <w:sz w:val="24"/>
                <w:szCs w:val="28"/>
                <w:lang w:val="en-US" w:eastAsia="zh-CN" w:bidi="ar-SA"/>
              </w:rPr>
            </w:pPr>
            <w:r>
              <w:rPr>
                <w:rFonts w:hint="eastAsia" w:ascii="仿宋_GB2312" w:eastAsia="仿宋_GB2312"/>
                <w:b w:val="0"/>
                <w:bCs w:val="0"/>
                <w:sz w:val="24"/>
                <w:lang w:val="en-US" w:eastAsia="zh-CN"/>
              </w:rPr>
              <w:t>西班牙语国家概况与社会文化</w:t>
            </w:r>
          </w:p>
        </w:tc>
        <w:tc>
          <w:tcPr>
            <w:tcW w:w="803" w:type="dxa"/>
            <w:shd w:val="clear" w:color="auto" w:fill="FBE6D6" w:themeFill="accent2" w:themeFillTint="32"/>
            <w:noWrap w:val="0"/>
            <w:vAlign w:val="top"/>
          </w:tcPr>
          <w:p w14:paraId="0EFF4E43">
            <w:pPr>
              <w:widowControl/>
              <w:spacing w:line="360" w:lineRule="auto"/>
              <w:jc w:val="center"/>
              <w:rPr>
                <w:rFonts w:ascii="仿宋_GB2312" w:hAnsi="宋体" w:eastAsia="仿宋_GB2312" w:cs="宋体"/>
                <w:b w:val="0"/>
                <w:bCs w:val="0"/>
                <w:kern w:val="2"/>
                <w:sz w:val="24"/>
                <w:szCs w:val="28"/>
                <w:highlight w:val="none"/>
                <w:lang w:val="en-US" w:eastAsia="zh-CN" w:bidi="ar-SA"/>
              </w:rPr>
            </w:pPr>
            <w:r>
              <w:rPr>
                <w:rFonts w:hint="eastAsia" w:ascii="仿宋_GB2312" w:eastAsia="仿宋_GB2312"/>
                <w:b w:val="0"/>
                <w:bCs w:val="0"/>
                <w:sz w:val="24"/>
                <w:highlight w:val="none"/>
                <w:lang w:val="en-US" w:eastAsia="zh-CN"/>
              </w:rPr>
              <w:t>32</w:t>
            </w:r>
          </w:p>
        </w:tc>
        <w:tc>
          <w:tcPr>
            <w:tcW w:w="785" w:type="dxa"/>
            <w:shd w:val="clear" w:color="auto" w:fill="FBE6D6" w:themeFill="accent2" w:themeFillTint="32"/>
            <w:noWrap w:val="0"/>
            <w:vAlign w:val="top"/>
          </w:tcPr>
          <w:p w14:paraId="263A285F">
            <w:pPr>
              <w:widowControl/>
              <w:spacing w:line="360" w:lineRule="auto"/>
              <w:jc w:val="center"/>
              <w:rPr>
                <w:rFonts w:hint="default" w:ascii="仿宋_GB2312" w:hAnsi="宋体" w:eastAsia="仿宋_GB2312" w:cs="宋体"/>
                <w:b w:val="0"/>
                <w:bCs w:val="0"/>
                <w:kern w:val="2"/>
                <w:sz w:val="24"/>
                <w:szCs w:val="28"/>
                <w:highlight w:val="none"/>
                <w:lang w:val="en-US" w:eastAsia="zh-CN" w:bidi="ar-SA"/>
              </w:rPr>
            </w:pPr>
            <w:r>
              <w:rPr>
                <w:rFonts w:hint="eastAsia" w:ascii="仿宋_GB2312" w:eastAsia="仿宋_GB2312"/>
                <w:b w:val="0"/>
                <w:bCs w:val="0"/>
                <w:sz w:val="24"/>
                <w:highlight w:val="none"/>
                <w:lang w:val="en-US" w:eastAsia="zh-CN"/>
              </w:rPr>
              <w:t>2</w:t>
            </w:r>
          </w:p>
        </w:tc>
        <w:tc>
          <w:tcPr>
            <w:tcW w:w="1825" w:type="dxa"/>
            <w:shd w:val="clear" w:color="auto" w:fill="FBE6D6" w:themeFill="accent2" w:themeFillTint="32"/>
            <w:noWrap w:val="0"/>
            <w:vAlign w:val="top"/>
          </w:tcPr>
          <w:p w14:paraId="1BB4B85C">
            <w:pPr>
              <w:widowControl/>
              <w:spacing w:line="360" w:lineRule="auto"/>
              <w:jc w:val="center"/>
              <w:rPr>
                <w:rFonts w:hint="default" w:ascii="仿宋_GB2312" w:hAnsi="宋体" w:eastAsia="仿宋_GB2312" w:cs="宋体"/>
                <w:b/>
                <w:bCs/>
                <w:kern w:val="2"/>
                <w:sz w:val="24"/>
                <w:szCs w:val="28"/>
                <w:lang w:val="en-US" w:eastAsia="zh-CN" w:bidi="ar-SA"/>
              </w:rPr>
            </w:pPr>
            <w:r>
              <w:rPr>
                <w:rFonts w:hint="eastAsia" w:ascii="仿宋_GB2312" w:eastAsia="仿宋_GB2312"/>
                <w:b w:val="0"/>
                <w:bCs w:val="0"/>
                <w:sz w:val="22"/>
                <w:szCs w:val="18"/>
                <w:lang w:val="en-US" w:eastAsia="zh-CN"/>
              </w:rPr>
              <w:t>2026秋季学期</w:t>
            </w:r>
          </w:p>
        </w:tc>
      </w:tr>
      <w:tr w14:paraId="3FB63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shd w:val="clear" w:color="auto" w:fill="DBE3F4" w:themeFill="accent1" w:themeFillTint="32"/>
            <w:noWrap w:val="0"/>
            <w:vAlign w:val="top"/>
          </w:tcPr>
          <w:p w14:paraId="2471E42F">
            <w:pPr>
              <w:widowControl/>
              <w:spacing w:line="360" w:lineRule="auto"/>
              <w:jc w:val="center"/>
              <w:rPr>
                <w:rFonts w:hint="default" w:ascii="仿宋_GB2312" w:hAnsi="宋体" w:eastAsia="仿宋_GB2312" w:cs="宋体"/>
                <w:b w:val="0"/>
                <w:bCs w:val="0"/>
                <w:kern w:val="2"/>
                <w:sz w:val="22"/>
                <w:szCs w:val="18"/>
                <w:lang w:val="en-US" w:eastAsia="zh-CN" w:bidi="ar-SA"/>
              </w:rPr>
            </w:pPr>
            <w:r>
              <w:rPr>
                <w:rFonts w:hint="eastAsia" w:ascii="仿宋_GB2312" w:eastAsia="仿宋_GB2312" w:cs="宋体"/>
                <w:b w:val="0"/>
                <w:bCs w:val="0"/>
                <w:kern w:val="2"/>
                <w:sz w:val="22"/>
                <w:szCs w:val="18"/>
                <w:lang w:val="en-US" w:eastAsia="zh-CN" w:bidi="ar-SA"/>
              </w:rPr>
              <w:t>604551</w:t>
            </w:r>
          </w:p>
        </w:tc>
        <w:tc>
          <w:tcPr>
            <w:tcW w:w="3350" w:type="dxa"/>
            <w:shd w:val="clear" w:color="auto" w:fill="DBE3F4" w:themeFill="accent1" w:themeFillTint="32"/>
            <w:noWrap w:val="0"/>
            <w:vAlign w:val="top"/>
          </w:tcPr>
          <w:p w14:paraId="462EBD14">
            <w:pPr>
              <w:widowControl/>
              <w:spacing w:line="360" w:lineRule="auto"/>
              <w:jc w:val="center"/>
              <w:rPr>
                <w:rFonts w:hint="default" w:ascii="仿宋_GB2312" w:hAnsi="宋体" w:eastAsia="仿宋_GB2312" w:cs="宋体"/>
                <w:b w:val="0"/>
                <w:bCs w:val="0"/>
                <w:kern w:val="2"/>
                <w:sz w:val="24"/>
                <w:szCs w:val="28"/>
                <w:lang w:val="en-US" w:eastAsia="zh-CN" w:bidi="ar-SA"/>
              </w:rPr>
            </w:pPr>
            <w:r>
              <w:rPr>
                <w:rFonts w:hint="eastAsia" w:ascii="仿宋_GB2312" w:eastAsia="仿宋_GB2312"/>
                <w:b w:val="0"/>
                <w:bCs w:val="0"/>
                <w:sz w:val="24"/>
                <w:lang w:val="en-US" w:eastAsia="zh-CN"/>
              </w:rPr>
              <w:t>基础西班牙语II</w:t>
            </w:r>
          </w:p>
        </w:tc>
        <w:tc>
          <w:tcPr>
            <w:tcW w:w="803" w:type="dxa"/>
            <w:shd w:val="clear" w:color="auto" w:fill="DBE3F4" w:themeFill="accent1" w:themeFillTint="32"/>
            <w:noWrap w:val="0"/>
            <w:vAlign w:val="top"/>
          </w:tcPr>
          <w:p w14:paraId="1A030B11">
            <w:pPr>
              <w:widowControl/>
              <w:spacing w:line="360" w:lineRule="auto"/>
              <w:jc w:val="center"/>
              <w:rPr>
                <w:rFonts w:hint="eastAsia" w:ascii="仿宋_GB2312" w:hAnsi="宋体" w:eastAsia="仿宋_GB2312" w:cs="宋体"/>
                <w:b w:val="0"/>
                <w:bCs w:val="0"/>
                <w:kern w:val="2"/>
                <w:sz w:val="24"/>
                <w:szCs w:val="28"/>
                <w:highlight w:val="none"/>
                <w:lang w:val="en-US" w:eastAsia="zh-CN" w:bidi="ar-SA"/>
              </w:rPr>
            </w:pPr>
            <w:r>
              <w:rPr>
                <w:rFonts w:hint="eastAsia" w:ascii="仿宋_GB2312" w:eastAsia="仿宋_GB2312"/>
                <w:b w:val="0"/>
                <w:bCs w:val="0"/>
                <w:sz w:val="24"/>
                <w:highlight w:val="none"/>
                <w:lang w:val="en-US" w:eastAsia="zh-CN"/>
              </w:rPr>
              <w:t>32</w:t>
            </w:r>
          </w:p>
        </w:tc>
        <w:tc>
          <w:tcPr>
            <w:tcW w:w="785" w:type="dxa"/>
            <w:shd w:val="clear" w:color="auto" w:fill="DBE3F4" w:themeFill="accent1" w:themeFillTint="32"/>
            <w:noWrap w:val="0"/>
            <w:vAlign w:val="top"/>
          </w:tcPr>
          <w:p w14:paraId="6CCA23CE">
            <w:pPr>
              <w:widowControl/>
              <w:spacing w:line="360" w:lineRule="auto"/>
              <w:jc w:val="center"/>
              <w:rPr>
                <w:rFonts w:hint="default" w:ascii="仿宋_GB2312" w:hAnsi="宋体" w:eastAsia="仿宋_GB2312" w:cs="宋体"/>
                <w:b w:val="0"/>
                <w:bCs w:val="0"/>
                <w:kern w:val="2"/>
                <w:sz w:val="24"/>
                <w:szCs w:val="28"/>
                <w:highlight w:val="none"/>
                <w:lang w:val="en-US" w:eastAsia="zh-CN" w:bidi="ar-SA"/>
              </w:rPr>
            </w:pPr>
            <w:r>
              <w:rPr>
                <w:rFonts w:hint="eastAsia" w:ascii="仿宋_GB2312" w:eastAsia="仿宋_GB2312"/>
                <w:b w:val="0"/>
                <w:bCs w:val="0"/>
                <w:sz w:val="24"/>
                <w:highlight w:val="none"/>
                <w:lang w:val="en-US" w:eastAsia="zh-CN"/>
              </w:rPr>
              <w:t>2</w:t>
            </w:r>
          </w:p>
        </w:tc>
        <w:tc>
          <w:tcPr>
            <w:tcW w:w="1825" w:type="dxa"/>
            <w:shd w:val="clear" w:color="auto" w:fill="DBE3F4" w:themeFill="accent1" w:themeFillTint="32"/>
            <w:noWrap w:val="0"/>
            <w:vAlign w:val="top"/>
          </w:tcPr>
          <w:p w14:paraId="5699314D">
            <w:pPr>
              <w:widowControl/>
              <w:spacing w:line="360" w:lineRule="auto"/>
              <w:jc w:val="center"/>
              <w:rPr>
                <w:rFonts w:hint="eastAsia" w:ascii="仿宋_GB2312" w:hAnsi="宋体" w:eastAsia="仿宋_GB2312" w:cs="宋体"/>
                <w:b/>
                <w:bCs/>
                <w:kern w:val="2"/>
                <w:sz w:val="24"/>
                <w:szCs w:val="28"/>
                <w:lang w:val="en-US" w:eastAsia="zh-CN" w:bidi="ar-SA"/>
              </w:rPr>
            </w:pPr>
            <w:r>
              <w:rPr>
                <w:rFonts w:hint="eastAsia" w:ascii="仿宋_GB2312" w:eastAsia="仿宋_GB2312"/>
                <w:b w:val="0"/>
                <w:bCs w:val="0"/>
                <w:sz w:val="22"/>
                <w:szCs w:val="18"/>
                <w:lang w:val="en-US" w:eastAsia="zh-CN"/>
              </w:rPr>
              <w:t>2027春季学期</w:t>
            </w:r>
          </w:p>
        </w:tc>
      </w:tr>
      <w:tr w14:paraId="22AB1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shd w:val="clear" w:color="auto" w:fill="DBE3F4" w:themeFill="accent1" w:themeFillTint="32"/>
            <w:noWrap w:val="0"/>
            <w:vAlign w:val="top"/>
          </w:tcPr>
          <w:p w14:paraId="5AA349B0">
            <w:pPr>
              <w:widowControl/>
              <w:spacing w:line="360" w:lineRule="auto"/>
              <w:jc w:val="center"/>
              <w:rPr>
                <w:rFonts w:hint="default" w:ascii="仿宋_GB2312" w:hAnsi="宋体" w:eastAsia="仿宋_GB2312" w:cs="宋体"/>
                <w:b w:val="0"/>
                <w:bCs w:val="0"/>
                <w:kern w:val="2"/>
                <w:sz w:val="22"/>
                <w:szCs w:val="18"/>
                <w:lang w:val="en-US" w:eastAsia="zh-CN" w:bidi="ar-SA"/>
              </w:rPr>
            </w:pPr>
            <w:r>
              <w:rPr>
                <w:rFonts w:hint="eastAsia" w:ascii="仿宋_GB2312" w:eastAsia="仿宋_GB2312" w:cs="宋体"/>
                <w:b w:val="0"/>
                <w:bCs w:val="0"/>
                <w:kern w:val="2"/>
                <w:sz w:val="22"/>
                <w:szCs w:val="18"/>
                <w:lang w:val="en-US" w:eastAsia="zh-CN" w:bidi="ar-SA"/>
              </w:rPr>
              <w:t>604549</w:t>
            </w:r>
          </w:p>
        </w:tc>
        <w:tc>
          <w:tcPr>
            <w:tcW w:w="3350" w:type="dxa"/>
            <w:shd w:val="clear" w:color="auto" w:fill="DBE3F4" w:themeFill="accent1" w:themeFillTint="32"/>
            <w:noWrap w:val="0"/>
            <w:vAlign w:val="top"/>
          </w:tcPr>
          <w:p w14:paraId="23587EF0">
            <w:pPr>
              <w:widowControl/>
              <w:spacing w:line="360" w:lineRule="auto"/>
              <w:jc w:val="center"/>
              <w:rPr>
                <w:rFonts w:hint="default" w:ascii="仿宋_GB2312" w:hAnsi="宋体" w:eastAsia="仿宋_GB2312" w:cs="宋体"/>
                <w:b w:val="0"/>
                <w:bCs w:val="0"/>
                <w:kern w:val="2"/>
                <w:sz w:val="24"/>
                <w:szCs w:val="28"/>
                <w:lang w:val="en-US" w:eastAsia="zh-CN" w:bidi="ar-SA"/>
              </w:rPr>
            </w:pPr>
            <w:r>
              <w:rPr>
                <w:rFonts w:hint="eastAsia" w:ascii="仿宋_GB2312" w:eastAsia="仿宋_GB2312"/>
                <w:b w:val="0"/>
                <w:bCs w:val="0"/>
                <w:sz w:val="24"/>
                <w:lang w:val="en-US" w:eastAsia="zh-CN"/>
              </w:rPr>
              <w:t>西班牙语视听说 II</w:t>
            </w:r>
          </w:p>
        </w:tc>
        <w:tc>
          <w:tcPr>
            <w:tcW w:w="803" w:type="dxa"/>
            <w:shd w:val="clear" w:color="auto" w:fill="DBE3F4" w:themeFill="accent1" w:themeFillTint="32"/>
            <w:noWrap w:val="0"/>
            <w:vAlign w:val="top"/>
          </w:tcPr>
          <w:p w14:paraId="5FE3A8DF">
            <w:pPr>
              <w:widowControl/>
              <w:spacing w:line="360" w:lineRule="auto"/>
              <w:jc w:val="center"/>
              <w:rPr>
                <w:rFonts w:ascii="仿宋_GB2312" w:hAnsi="宋体" w:eastAsia="仿宋_GB2312" w:cs="宋体"/>
                <w:b w:val="0"/>
                <w:bCs w:val="0"/>
                <w:kern w:val="2"/>
                <w:sz w:val="24"/>
                <w:szCs w:val="28"/>
                <w:highlight w:val="none"/>
                <w:lang w:val="en-US" w:eastAsia="zh-CN" w:bidi="ar-SA"/>
              </w:rPr>
            </w:pPr>
            <w:r>
              <w:rPr>
                <w:rFonts w:hint="eastAsia" w:ascii="仿宋_GB2312" w:eastAsia="仿宋_GB2312"/>
                <w:b w:val="0"/>
                <w:bCs w:val="0"/>
                <w:sz w:val="24"/>
                <w:highlight w:val="none"/>
                <w:lang w:val="en-US" w:eastAsia="zh-CN"/>
              </w:rPr>
              <w:t>32</w:t>
            </w:r>
          </w:p>
        </w:tc>
        <w:tc>
          <w:tcPr>
            <w:tcW w:w="785" w:type="dxa"/>
            <w:shd w:val="clear" w:color="auto" w:fill="DBE3F4" w:themeFill="accent1" w:themeFillTint="32"/>
            <w:noWrap w:val="0"/>
            <w:vAlign w:val="top"/>
          </w:tcPr>
          <w:p w14:paraId="2A0E046A">
            <w:pPr>
              <w:widowControl/>
              <w:spacing w:line="360" w:lineRule="auto"/>
              <w:jc w:val="center"/>
              <w:rPr>
                <w:rFonts w:hint="eastAsia" w:ascii="仿宋_GB2312" w:hAnsi="宋体" w:eastAsia="仿宋_GB2312" w:cs="宋体"/>
                <w:b w:val="0"/>
                <w:bCs w:val="0"/>
                <w:kern w:val="2"/>
                <w:sz w:val="24"/>
                <w:szCs w:val="28"/>
                <w:highlight w:val="none"/>
                <w:lang w:val="en-US" w:eastAsia="zh-CN" w:bidi="ar-SA"/>
              </w:rPr>
            </w:pPr>
            <w:r>
              <w:rPr>
                <w:rFonts w:hint="eastAsia" w:ascii="仿宋_GB2312" w:eastAsia="仿宋_GB2312"/>
                <w:b w:val="0"/>
                <w:bCs w:val="0"/>
                <w:sz w:val="24"/>
                <w:highlight w:val="none"/>
                <w:lang w:val="en-US" w:eastAsia="zh-CN"/>
              </w:rPr>
              <w:t>2</w:t>
            </w:r>
          </w:p>
        </w:tc>
        <w:tc>
          <w:tcPr>
            <w:tcW w:w="1825" w:type="dxa"/>
            <w:shd w:val="clear" w:color="auto" w:fill="DBE3F4" w:themeFill="accent1" w:themeFillTint="32"/>
            <w:noWrap w:val="0"/>
            <w:vAlign w:val="top"/>
          </w:tcPr>
          <w:p w14:paraId="64B4E771">
            <w:pPr>
              <w:widowControl/>
              <w:spacing w:line="360" w:lineRule="auto"/>
              <w:jc w:val="center"/>
              <w:rPr>
                <w:rFonts w:hint="eastAsia" w:ascii="仿宋_GB2312" w:hAnsi="宋体" w:eastAsia="仿宋_GB2312" w:cs="宋体"/>
                <w:b/>
                <w:bCs/>
                <w:kern w:val="2"/>
                <w:sz w:val="24"/>
                <w:szCs w:val="28"/>
                <w:lang w:val="en-US" w:eastAsia="zh-CN" w:bidi="ar-SA"/>
              </w:rPr>
            </w:pPr>
            <w:r>
              <w:rPr>
                <w:rFonts w:hint="eastAsia" w:ascii="仿宋_GB2312" w:eastAsia="仿宋_GB2312"/>
                <w:b w:val="0"/>
                <w:bCs w:val="0"/>
                <w:sz w:val="22"/>
                <w:szCs w:val="18"/>
                <w:lang w:val="en-US" w:eastAsia="zh-CN"/>
              </w:rPr>
              <w:t>2027春季学期</w:t>
            </w:r>
          </w:p>
        </w:tc>
      </w:tr>
      <w:tr w14:paraId="63C20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shd w:val="clear" w:color="auto" w:fill="DBE3F4" w:themeFill="accent1" w:themeFillTint="32"/>
            <w:noWrap w:val="0"/>
            <w:vAlign w:val="top"/>
          </w:tcPr>
          <w:p w14:paraId="1B768E82">
            <w:pPr>
              <w:widowControl/>
              <w:spacing w:line="360" w:lineRule="auto"/>
              <w:jc w:val="center"/>
              <w:rPr>
                <w:rFonts w:hint="default" w:ascii="仿宋_GB2312" w:hAnsi="宋体" w:eastAsia="仿宋_GB2312" w:cs="宋体"/>
                <w:b w:val="0"/>
                <w:bCs w:val="0"/>
                <w:kern w:val="2"/>
                <w:sz w:val="22"/>
                <w:szCs w:val="18"/>
                <w:lang w:val="en-US" w:eastAsia="zh-CN" w:bidi="ar-SA"/>
              </w:rPr>
            </w:pPr>
            <w:r>
              <w:rPr>
                <w:rFonts w:hint="eastAsia" w:ascii="仿宋_GB2312" w:eastAsia="仿宋_GB2312" w:cs="宋体"/>
                <w:b w:val="0"/>
                <w:bCs w:val="0"/>
                <w:kern w:val="2"/>
                <w:sz w:val="22"/>
                <w:szCs w:val="18"/>
                <w:lang w:val="en-US" w:eastAsia="zh-CN" w:bidi="ar-SA"/>
              </w:rPr>
              <w:t>604547</w:t>
            </w:r>
          </w:p>
        </w:tc>
        <w:tc>
          <w:tcPr>
            <w:tcW w:w="3350" w:type="dxa"/>
            <w:shd w:val="clear" w:color="auto" w:fill="DBE3F4" w:themeFill="accent1" w:themeFillTint="32"/>
            <w:noWrap w:val="0"/>
            <w:vAlign w:val="top"/>
          </w:tcPr>
          <w:p w14:paraId="0A260AAA">
            <w:pPr>
              <w:widowControl/>
              <w:spacing w:line="360" w:lineRule="auto"/>
              <w:jc w:val="center"/>
              <w:rPr>
                <w:rFonts w:hint="default" w:ascii="仿宋_GB2312" w:hAnsi="宋体" w:eastAsia="仿宋_GB2312" w:cs="宋体"/>
                <w:b w:val="0"/>
                <w:bCs w:val="0"/>
                <w:kern w:val="2"/>
                <w:sz w:val="24"/>
                <w:szCs w:val="28"/>
                <w:lang w:val="en-US" w:eastAsia="zh-CN" w:bidi="ar-SA"/>
              </w:rPr>
            </w:pPr>
            <w:r>
              <w:rPr>
                <w:rFonts w:hint="eastAsia" w:ascii="仿宋_GB2312" w:eastAsia="仿宋_GB2312"/>
                <w:b w:val="0"/>
                <w:bCs w:val="0"/>
                <w:sz w:val="24"/>
                <w:lang w:val="en-US" w:eastAsia="zh-CN"/>
              </w:rPr>
              <w:t>西班牙语阅读与写作</w:t>
            </w:r>
          </w:p>
        </w:tc>
        <w:tc>
          <w:tcPr>
            <w:tcW w:w="803" w:type="dxa"/>
            <w:shd w:val="clear" w:color="auto" w:fill="DBE3F4" w:themeFill="accent1" w:themeFillTint="32"/>
            <w:noWrap w:val="0"/>
            <w:vAlign w:val="top"/>
          </w:tcPr>
          <w:p w14:paraId="6A098415">
            <w:pPr>
              <w:widowControl/>
              <w:spacing w:line="360" w:lineRule="auto"/>
              <w:jc w:val="center"/>
              <w:rPr>
                <w:rFonts w:ascii="仿宋_GB2312" w:hAnsi="宋体" w:eastAsia="仿宋_GB2312" w:cs="宋体"/>
                <w:b w:val="0"/>
                <w:bCs w:val="0"/>
                <w:kern w:val="2"/>
                <w:sz w:val="24"/>
                <w:szCs w:val="28"/>
                <w:highlight w:val="none"/>
                <w:lang w:val="en-US" w:eastAsia="zh-CN" w:bidi="ar-SA"/>
              </w:rPr>
            </w:pPr>
            <w:r>
              <w:rPr>
                <w:rFonts w:hint="eastAsia" w:ascii="仿宋_GB2312" w:eastAsia="仿宋_GB2312"/>
                <w:b w:val="0"/>
                <w:bCs w:val="0"/>
                <w:sz w:val="24"/>
                <w:highlight w:val="none"/>
                <w:lang w:val="en-US" w:eastAsia="zh-CN"/>
              </w:rPr>
              <w:t>32</w:t>
            </w:r>
          </w:p>
        </w:tc>
        <w:tc>
          <w:tcPr>
            <w:tcW w:w="785" w:type="dxa"/>
            <w:shd w:val="clear" w:color="auto" w:fill="DBE3F4" w:themeFill="accent1" w:themeFillTint="32"/>
            <w:noWrap w:val="0"/>
            <w:vAlign w:val="top"/>
          </w:tcPr>
          <w:p w14:paraId="4BA2C7C0">
            <w:pPr>
              <w:widowControl/>
              <w:spacing w:line="360" w:lineRule="auto"/>
              <w:jc w:val="center"/>
              <w:rPr>
                <w:rFonts w:hint="default" w:ascii="仿宋_GB2312" w:hAnsi="宋体" w:eastAsia="仿宋_GB2312" w:cs="宋体"/>
                <w:b w:val="0"/>
                <w:bCs w:val="0"/>
                <w:kern w:val="2"/>
                <w:sz w:val="24"/>
                <w:szCs w:val="28"/>
                <w:highlight w:val="none"/>
                <w:lang w:val="en-US" w:eastAsia="zh-CN" w:bidi="ar-SA"/>
              </w:rPr>
            </w:pPr>
            <w:r>
              <w:rPr>
                <w:rFonts w:hint="eastAsia" w:ascii="仿宋_GB2312" w:eastAsia="仿宋_GB2312"/>
                <w:b w:val="0"/>
                <w:bCs w:val="0"/>
                <w:sz w:val="24"/>
                <w:highlight w:val="none"/>
                <w:lang w:val="en-US" w:eastAsia="zh-CN"/>
              </w:rPr>
              <w:t>2</w:t>
            </w:r>
          </w:p>
        </w:tc>
        <w:tc>
          <w:tcPr>
            <w:tcW w:w="1825" w:type="dxa"/>
            <w:shd w:val="clear" w:color="auto" w:fill="DBE3F4" w:themeFill="accent1" w:themeFillTint="32"/>
            <w:noWrap w:val="0"/>
            <w:vAlign w:val="top"/>
          </w:tcPr>
          <w:p w14:paraId="2006596B">
            <w:pPr>
              <w:widowControl/>
              <w:spacing w:line="360" w:lineRule="auto"/>
              <w:jc w:val="center"/>
              <w:rPr>
                <w:rFonts w:hint="default" w:ascii="仿宋_GB2312" w:hAnsi="宋体" w:eastAsia="仿宋_GB2312" w:cs="宋体"/>
                <w:b/>
                <w:bCs/>
                <w:kern w:val="2"/>
                <w:sz w:val="24"/>
                <w:szCs w:val="28"/>
                <w:lang w:val="en-US" w:eastAsia="zh-CN" w:bidi="ar-SA"/>
              </w:rPr>
            </w:pPr>
            <w:r>
              <w:rPr>
                <w:rFonts w:hint="eastAsia" w:ascii="仿宋_GB2312" w:eastAsia="仿宋_GB2312"/>
                <w:b w:val="0"/>
                <w:bCs w:val="0"/>
                <w:sz w:val="22"/>
                <w:szCs w:val="18"/>
                <w:lang w:val="en-US" w:eastAsia="zh-CN"/>
              </w:rPr>
              <w:t>2027春季学期</w:t>
            </w:r>
          </w:p>
        </w:tc>
      </w:tr>
    </w:tbl>
    <w:p w14:paraId="69368D4B">
      <w:pPr>
        <w:numPr>
          <w:ilvl w:val="0"/>
          <w:numId w:val="0"/>
        </w:numPr>
        <w:spacing w:line="360" w:lineRule="auto"/>
        <w:rPr>
          <w:rFonts w:hint="eastAsia" w:ascii="宋体" w:hAnsi="宋体" w:eastAsia="宋体" w:cs="宋体"/>
          <w:b/>
          <w:bCs/>
          <w:sz w:val="24"/>
          <w:szCs w:val="24"/>
          <w:lang w:val="en-US" w:eastAsia="zh-CN"/>
        </w:rPr>
      </w:pPr>
    </w:p>
    <w:p w14:paraId="63B23988">
      <w:pPr>
        <w:pStyle w:val="12"/>
        <w:numPr>
          <w:ilvl w:val="0"/>
          <w:numId w:val="4"/>
        </w:numPr>
        <w:ind w:left="0" w:leftChars="0" w:firstLine="482" w:firstLineChars="0"/>
        <w:rPr>
          <w:rFonts w:ascii="Times New Roman" w:hAnsi="Times New Roman" w:eastAsia="宋体" w:cs="Times New Roman"/>
          <w:b/>
          <w:sz w:val="24"/>
          <w:szCs w:val="24"/>
          <w:bdr w:val="none" w:sz="0" w:space="0"/>
        </w:rPr>
      </w:pPr>
      <w:r>
        <w:rPr>
          <w:rFonts w:ascii="Times New Roman" w:hAnsi="Times New Roman" w:eastAsia="宋体" w:cs="Times New Roman"/>
          <w:b/>
          <w:sz w:val="24"/>
          <w:szCs w:val="24"/>
        </w:rPr>
        <w:t>课程周期：</w:t>
      </w:r>
      <w:r>
        <w:rPr>
          <w:rFonts w:ascii="Times New Roman" w:hAnsi="Times New Roman" w:eastAsia="宋体" w:cs="Times New Roman"/>
          <w:sz w:val="24"/>
          <w:szCs w:val="24"/>
        </w:rPr>
        <w:t>1学年 (2学期)；2026年9月开课，2027年5月结课；具体开课时间另行通知。</w:t>
      </w:r>
    </w:p>
    <w:p w14:paraId="2B6CA5D1">
      <w:pPr>
        <w:pStyle w:val="12"/>
        <w:numPr>
          <w:ilvl w:val="0"/>
          <w:numId w:val="4"/>
        </w:numPr>
        <w:ind w:left="0" w:leftChars="0" w:firstLine="482" w:firstLineChars="0"/>
        <w:rPr>
          <w:rFonts w:ascii="Times New Roman" w:hAnsi="Times New Roman" w:eastAsia="宋体" w:cs="Times New Roman"/>
          <w:b/>
          <w:color w:val="auto"/>
          <w:sz w:val="24"/>
          <w:szCs w:val="24"/>
          <w:bdr w:val="none" w:sz="0" w:space="0"/>
        </w:rPr>
      </w:pPr>
      <w:r>
        <w:rPr>
          <w:rFonts w:ascii="Times New Roman" w:hAnsi="Times New Roman" w:eastAsia="宋体" w:cs="Times New Roman"/>
          <w:b/>
          <w:color w:val="auto"/>
          <w:sz w:val="24"/>
          <w:szCs w:val="24"/>
        </w:rPr>
        <w:t>2026秋季学期上课时间（2027春季学期另作安排）：</w:t>
      </w:r>
    </w:p>
    <w:p w14:paraId="5333CC3E">
      <w:pPr>
        <w:pStyle w:val="12"/>
        <w:rPr>
          <w:rFonts w:ascii="Times New Roman" w:hAnsi="Times New Roman" w:eastAsia="宋体" w:cs="Times New Roman"/>
          <w:b/>
          <w:color w:val="auto"/>
          <w:sz w:val="24"/>
          <w:szCs w:val="24"/>
        </w:rPr>
      </w:pPr>
      <w:r>
        <w:rPr>
          <w:rFonts w:ascii="Times New Roman" w:hAnsi="Times New Roman" w:eastAsia="宋体" w:cs="Times New Roman"/>
          <w:sz w:val="24"/>
          <w:szCs w:val="24"/>
        </w:rPr>
        <w:t>“西班牙语”微专业共招收两班</w:t>
      </w:r>
    </w:p>
    <w:p w14:paraId="327427DD">
      <w:pPr>
        <w:pStyle w:val="12"/>
        <w:numPr>
          <w:ilvl w:val="0"/>
          <w:numId w:val="5"/>
        </w:numPr>
        <w:ind w:left="0" w:leftChars="0" w:firstLine="480" w:firstLineChars="0"/>
        <w:rPr>
          <w:rFonts w:hint="eastAsia" w:ascii="宋体" w:hAnsi="宋体" w:eastAsia="宋体" w:cs="宋体"/>
          <w:b w:val="0"/>
          <w:sz w:val="24"/>
          <w:szCs w:val="24"/>
          <w:u w:val="single"/>
          <w:bdr w:val="none" w:sz="0" w:space="0"/>
        </w:rPr>
      </w:pPr>
      <w:r>
        <w:rPr>
          <w:rFonts w:ascii="Times New Roman" w:hAnsi="Times New Roman" w:eastAsia="宋体" w:cs="Times New Roman"/>
          <w:b w:val="0"/>
          <w:color w:val="auto"/>
          <w:sz w:val="24"/>
          <w:szCs w:val="24"/>
          <w:u w:val="single"/>
        </w:rPr>
        <w:t>班上课时间：</w:t>
      </w:r>
    </w:p>
    <w:p w14:paraId="02B4B0F6">
      <w:pPr>
        <w:pStyle w:val="12"/>
        <w:rPr>
          <w:rFonts w:ascii="Times New Roman" w:hAnsi="Times New Roman" w:eastAsia="宋体" w:cs="Times New Roman"/>
          <w:sz w:val="24"/>
          <w:szCs w:val="24"/>
        </w:rPr>
      </w:pPr>
      <w:r>
        <w:rPr>
          <w:rFonts w:ascii="Times New Roman" w:hAnsi="Times New Roman" w:eastAsia="宋体" w:cs="Times New Roman"/>
          <w:sz w:val="24"/>
          <w:szCs w:val="24"/>
        </w:rPr>
        <w:t>《基础西班牙语 I》周三晚上13-15节</w:t>
      </w:r>
    </w:p>
    <w:p w14:paraId="162C6202">
      <w:pPr>
        <w:pStyle w:val="12"/>
        <w:rPr>
          <w:rFonts w:ascii="Times New Roman" w:hAnsi="Times New Roman" w:eastAsia="宋体" w:cs="Times New Roman"/>
          <w:sz w:val="24"/>
          <w:szCs w:val="24"/>
        </w:rPr>
      </w:pPr>
      <w:r>
        <w:rPr>
          <w:rFonts w:ascii="Times New Roman" w:hAnsi="Times New Roman" w:eastAsia="宋体" w:cs="Times New Roman"/>
          <w:sz w:val="24"/>
          <w:szCs w:val="24"/>
        </w:rPr>
        <w:t>《西班牙语视听说 I》周六上午3-5节</w:t>
      </w:r>
    </w:p>
    <w:p w14:paraId="5C4F6D39">
      <w:pPr>
        <w:pStyle w:val="12"/>
        <w:rPr>
          <w:rFonts w:ascii="Times New Roman" w:hAnsi="Times New Roman" w:eastAsia="宋体" w:cs="Times New Roman"/>
          <w:sz w:val="24"/>
          <w:szCs w:val="24"/>
        </w:rPr>
      </w:pPr>
      <w:r>
        <w:rPr>
          <w:rFonts w:ascii="Times New Roman" w:hAnsi="Times New Roman" w:eastAsia="宋体" w:cs="Times New Roman"/>
          <w:sz w:val="24"/>
          <w:szCs w:val="24"/>
        </w:rPr>
        <w:t>《西班牙语国家概况与社会文化》周六下午10-12节</w:t>
      </w:r>
    </w:p>
    <w:p w14:paraId="5A14B7A6">
      <w:pPr>
        <w:pStyle w:val="12"/>
        <w:numPr>
          <w:ilvl w:val="0"/>
          <w:numId w:val="5"/>
        </w:numPr>
        <w:ind w:left="0" w:leftChars="0" w:firstLine="480" w:firstLineChars="0"/>
        <w:rPr>
          <w:rFonts w:hint="eastAsia" w:ascii="宋体" w:hAnsi="宋体" w:eastAsia="宋体" w:cs="宋体"/>
          <w:b w:val="0"/>
          <w:color w:val="auto"/>
          <w:sz w:val="24"/>
          <w:szCs w:val="24"/>
          <w:u w:val="single"/>
          <w:bdr w:val="none" w:sz="0" w:space="0"/>
        </w:rPr>
      </w:pPr>
      <w:r>
        <w:rPr>
          <w:rFonts w:ascii="Times New Roman" w:hAnsi="Times New Roman" w:eastAsia="宋体" w:cs="Times New Roman"/>
          <w:b w:val="0"/>
          <w:color w:val="auto"/>
          <w:sz w:val="24"/>
          <w:szCs w:val="24"/>
          <w:u w:val="single"/>
        </w:rPr>
        <w:t>班上课时间：</w:t>
      </w:r>
    </w:p>
    <w:p w14:paraId="1AFE01D7">
      <w:pPr>
        <w:pStyle w:val="12"/>
        <w:rPr>
          <w:rFonts w:ascii="Times New Roman" w:hAnsi="Times New Roman" w:eastAsia="宋体" w:cs="Times New Roman"/>
          <w:sz w:val="24"/>
          <w:szCs w:val="24"/>
        </w:rPr>
      </w:pPr>
      <w:r>
        <w:rPr>
          <w:rFonts w:ascii="Times New Roman" w:hAnsi="Times New Roman" w:eastAsia="宋体" w:cs="Times New Roman"/>
          <w:sz w:val="24"/>
          <w:szCs w:val="24"/>
        </w:rPr>
        <w:t>《基础西班牙语 I》周四晚上13-15节</w:t>
      </w:r>
    </w:p>
    <w:p w14:paraId="2414EC14">
      <w:pPr>
        <w:pStyle w:val="12"/>
        <w:rPr>
          <w:rFonts w:ascii="Times New Roman" w:hAnsi="Times New Roman" w:eastAsia="宋体" w:cs="Times New Roman"/>
          <w:sz w:val="24"/>
          <w:szCs w:val="24"/>
        </w:rPr>
      </w:pPr>
      <w:r>
        <w:rPr>
          <w:rFonts w:ascii="Times New Roman" w:hAnsi="Times New Roman" w:eastAsia="宋体" w:cs="Times New Roman"/>
          <w:sz w:val="24"/>
          <w:szCs w:val="24"/>
        </w:rPr>
        <w:t>《西班牙语视听说 I》周日上午3-5节</w:t>
      </w:r>
    </w:p>
    <w:p w14:paraId="51D1CE6E">
      <w:pPr>
        <w:pStyle w:val="12"/>
        <w:rPr>
          <w:rFonts w:ascii="Times New Roman" w:hAnsi="Times New Roman" w:eastAsia="宋体" w:cs="Times New Roman"/>
          <w:sz w:val="24"/>
          <w:szCs w:val="24"/>
        </w:rPr>
      </w:pPr>
      <w:r>
        <w:rPr>
          <w:rFonts w:ascii="Times New Roman" w:hAnsi="Times New Roman" w:eastAsia="宋体" w:cs="Times New Roman"/>
          <w:sz w:val="24"/>
          <w:szCs w:val="24"/>
        </w:rPr>
        <w:t>《西班牙语国家概况与社会文化》周日下午10-12节</w:t>
      </w:r>
    </w:p>
    <w:p w14:paraId="4582EF52">
      <w:pPr>
        <w:pStyle w:val="12"/>
        <w:numPr>
          <w:ilvl w:val="0"/>
          <w:numId w:val="4"/>
        </w:numPr>
        <w:ind w:left="0" w:leftChars="0" w:firstLine="482" w:firstLineChars="0"/>
        <w:rPr>
          <w:rFonts w:ascii="Times New Roman" w:hAnsi="Times New Roman" w:eastAsia="宋体" w:cs="Times New Roman"/>
          <w:b/>
          <w:sz w:val="24"/>
          <w:szCs w:val="24"/>
          <w:bdr w:val="none" w:sz="0" w:space="0"/>
        </w:rPr>
      </w:pPr>
      <w:r>
        <w:rPr>
          <w:rFonts w:ascii="Times New Roman" w:hAnsi="Times New Roman" w:eastAsia="宋体" w:cs="Times New Roman"/>
          <w:b/>
          <w:sz w:val="24"/>
          <w:szCs w:val="24"/>
        </w:rPr>
        <w:t>授课方式:</w:t>
      </w:r>
      <w:r>
        <w:rPr>
          <w:rFonts w:ascii="Times New Roman" w:hAnsi="Times New Roman" w:eastAsia="宋体" w:cs="Times New Roman"/>
          <w:b w:val="0"/>
          <w:sz w:val="24"/>
          <w:szCs w:val="24"/>
        </w:rPr>
        <w:t xml:space="preserve"> </w:t>
      </w:r>
      <w:r>
        <w:rPr>
          <w:rFonts w:ascii="Times New Roman" w:hAnsi="Times New Roman" w:eastAsia="宋体" w:cs="Times New Roman"/>
          <w:sz w:val="24"/>
          <w:szCs w:val="24"/>
        </w:rPr>
        <w:t>线下授课。</w:t>
      </w:r>
    </w:p>
    <w:p w14:paraId="29249724">
      <w:pPr>
        <w:pStyle w:val="2"/>
        <w:numPr>
          <w:ilvl w:val="0"/>
          <w:numId w:val="1"/>
        </w:numPr>
        <w:topLinePunct w:val="0"/>
        <w:ind w:left="0" w:leftChars="0" w:firstLine="0" w:firstLineChars="0"/>
        <w:rPr>
          <w:rFonts w:hint="eastAsia" w:ascii="黑体" w:hAnsi="黑体" w:eastAsia="黑体" w:cs="黑体"/>
          <w:b w:val="0"/>
          <w:highlight w:val="none"/>
          <w:bdr w:val="none" w:sz="0" w:space="0"/>
        </w:rPr>
      </w:pPr>
      <w:r>
        <w:rPr>
          <w:highlight w:val="none"/>
        </w:rPr>
        <w:t>结业要求：</w:t>
      </w:r>
    </w:p>
    <w:p w14:paraId="70F7D1CA">
      <w:pPr>
        <w:pStyle w:val="12"/>
        <w:rPr>
          <w:rFonts w:ascii="Times New Roman" w:hAnsi="Times New Roman" w:eastAsia="宋体" w:cs="Times New Roman"/>
          <w:sz w:val="24"/>
          <w:szCs w:val="24"/>
        </w:rPr>
      </w:pPr>
      <w:r>
        <w:rPr>
          <w:rFonts w:ascii="Times New Roman" w:hAnsi="Times New Roman" w:eastAsia="宋体" w:cs="Times New Roman"/>
          <w:sz w:val="24"/>
          <w:szCs w:val="24"/>
        </w:rPr>
        <w:t>学生主修专业学业结束，无论毕业或者结业离校，微专业学习同时终止。学生在校期间完成微专业全部课程，获得规定学分，经学院审核，报本科生院审定，发放学校统一制作的</w:t>
      </w:r>
      <w:r>
        <w:rPr>
          <w:rFonts w:ascii="Times New Roman" w:hAnsi="Times New Roman" w:eastAsia="宋体" w:cs="Times New Roman"/>
          <w:b w:val="0"/>
          <w:sz w:val="24"/>
          <w:szCs w:val="24"/>
        </w:rPr>
        <w:t>微专业结业证书</w:t>
      </w:r>
      <w:r>
        <w:rPr>
          <w:rFonts w:ascii="Times New Roman" w:hAnsi="Times New Roman" w:eastAsia="宋体" w:cs="Times New Roman"/>
          <w:sz w:val="24"/>
          <w:szCs w:val="24"/>
        </w:rPr>
        <w:t>。微专业不在中国高等教育学生信息网（学信网）备注信息，不具有学士学位授予资格。</w:t>
      </w:r>
    </w:p>
    <w:p w14:paraId="6BC20DD5">
      <w:pPr>
        <w:pStyle w:val="2"/>
        <w:numPr>
          <w:ilvl w:val="0"/>
          <w:numId w:val="1"/>
        </w:numPr>
        <w:topLinePunct w:val="0"/>
        <w:ind w:left="0" w:leftChars="0" w:firstLine="0" w:firstLineChars="0"/>
        <w:rPr>
          <w:rFonts w:hint="eastAsia" w:ascii="黑体" w:hAnsi="黑体" w:eastAsia="黑体" w:cs="黑体"/>
          <w:b w:val="0"/>
          <w:highlight w:val="none"/>
          <w:bdr w:val="none" w:sz="0" w:space="0"/>
        </w:rPr>
      </w:pPr>
      <w:r>
        <w:rPr>
          <w:highlight w:val="none"/>
        </w:rPr>
        <w:t>收费</w:t>
      </w:r>
    </w:p>
    <w:p w14:paraId="57F3913C">
      <w:pPr>
        <w:pStyle w:val="12"/>
        <w:widowControl/>
        <w:pBdr>
          <w:top w:val="none" w:color="auto" w:sz="0" w:space="0"/>
          <w:left w:val="none" w:color="auto" w:sz="0" w:space="0"/>
          <w:bottom w:val="none" w:color="auto" w:sz="0" w:space="0"/>
          <w:right w:val="none" w:color="auto" w:sz="0" w:space="0"/>
        </w:pBdr>
        <w:rPr>
          <w:rFonts w:hint="default" w:cs="宋体"/>
          <w:sz w:val="24"/>
          <w:szCs w:val="24"/>
          <w:lang w:val="es-ES" w:eastAsia="zh-CN"/>
        </w:rPr>
      </w:pPr>
      <w:r>
        <w:rPr>
          <w:rFonts w:ascii="Times New Roman" w:hAnsi="Times New Roman" w:eastAsia="宋体" w:cs="Times New Roman"/>
          <w:sz w:val="24"/>
          <w:szCs w:val="24"/>
        </w:rPr>
        <w:t>学生修读微专业不收费。</w:t>
      </w:r>
    </w:p>
    <w:p w14:paraId="059D352E">
      <w:pPr>
        <w:pStyle w:val="2"/>
        <w:numPr>
          <w:ilvl w:val="0"/>
          <w:numId w:val="1"/>
        </w:numPr>
        <w:topLinePunct w:val="0"/>
        <w:ind w:left="0" w:leftChars="0" w:firstLine="0" w:firstLineChars="0"/>
        <w:rPr>
          <w:rFonts w:hint="eastAsia" w:ascii="黑体" w:hAnsi="黑体" w:eastAsia="黑体" w:cs="黑体"/>
          <w:b w:val="0"/>
          <w:highlight w:val="none"/>
          <w:bdr w:val="none" w:sz="0" w:space="0"/>
        </w:rPr>
      </w:pPr>
      <w:r>
        <w:rPr>
          <w:highlight w:val="none"/>
        </w:rPr>
        <w:t>联系人及咨询方式</w:t>
      </w:r>
    </w:p>
    <w:p w14:paraId="6E1BE9E1">
      <w:pPr>
        <w:pStyle w:val="12"/>
        <w:numPr>
          <w:ilvl w:val="0"/>
          <w:numId w:val="6"/>
        </w:numPr>
        <w:ind w:left="0" w:leftChars="0" w:firstLine="480" w:firstLineChars="0"/>
        <w:rPr>
          <w:rFonts w:ascii="Times New Roman" w:hAnsi="Times New Roman" w:eastAsia="宋体" w:cs="Times New Roman"/>
          <w:b w:val="0"/>
          <w:sz w:val="24"/>
          <w:szCs w:val="24"/>
          <w:bdr w:val="none" w:sz="0" w:space="0"/>
        </w:rPr>
      </w:pPr>
      <w:r>
        <w:rPr>
          <w:rFonts w:ascii="Times New Roman" w:hAnsi="Times New Roman" w:eastAsia="宋体" w:cs="Times New Roman"/>
          <w:b/>
          <w:sz w:val="24"/>
          <w:szCs w:val="24"/>
        </w:rPr>
        <w:t>联 系 人：</w:t>
      </w:r>
      <w:r>
        <w:rPr>
          <w:rFonts w:ascii="Times New Roman" w:hAnsi="Times New Roman" w:eastAsia="宋体" w:cs="Times New Roman"/>
          <w:sz w:val="24"/>
          <w:szCs w:val="24"/>
        </w:rPr>
        <w:t>彭老师、朱老师</w:t>
      </w:r>
    </w:p>
    <w:p w14:paraId="2F6510BE">
      <w:pPr>
        <w:pStyle w:val="12"/>
        <w:numPr>
          <w:ilvl w:val="0"/>
          <w:numId w:val="6"/>
        </w:numPr>
        <w:ind w:left="0" w:leftChars="0" w:firstLine="480" w:firstLineChars="0"/>
        <w:rPr>
          <w:rFonts w:ascii="Times New Roman" w:hAnsi="Times New Roman" w:eastAsia="宋体" w:cs="Times New Roman"/>
          <w:b w:val="0"/>
          <w:sz w:val="24"/>
          <w:szCs w:val="24"/>
          <w:bdr w:val="none" w:sz="0" w:space="0"/>
        </w:rPr>
      </w:pPr>
      <w:r>
        <w:rPr>
          <w:rFonts w:ascii="Times New Roman" w:hAnsi="Times New Roman" w:eastAsia="宋体" w:cs="Times New Roman"/>
          <w:b/>
          <w:sz w:val="24"/>
          <w:szCs w:val="24"/>
        </w:rPr>
        <w:t>咨询方式：</w:t>
      </w:r>
      <w:r>
        <w:rPr>
          <w:rFonts w:ascii="Times New Roman" w:hAnsi="Times New Roman" w:eastAsia="宋体" w:cs="Times New Roman"/>
          <w:sz w:val="24"/>
          <w:szCs w:val="24"/>
        </w:rPr>
        <w:t>加入以下QQ群进行咨询 （群号: 1016400975）</w:t>
      </w:r>
    </w:p>
    <w:p w14:paraId="5DEF2C19">
      <w:pPr>
        <w:numPr>
          <w:ilvl w:val="0"/>
          <w:numId w:val="0"/>
        </w:numPr>
        <w:spacing w:line="240" w:lineRule="auto"/>
        <w:rPr>
          <w:rFonts w:hint="eastAsia" w:ascii="Times New Roman" w:hAnsi="Times New Roman" w:cs="Times New Roman"/>
          <w:sz w:val="24"/>
          <w:szCs w:val="24"/>
          <w:lang w:val="en-US" w:eastAsia="zh-CN"/>
        </w:rPr>
      </w:pPr>
    </w:p>
    <w:p w14:paraId="0D38DF98">
      <w:pPr>
        <w:numPr>
          <w:ilvl w:val="0"/>
          <w:numId w:val="0"/>
        </w:numPr>
        <w:spacing w:line="360" w:lineRule="auto"/>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drawing>
          <wp:inline distT="0" distB="0" distL="114300" distR="114300">
            <wp:extent cx="2204085" cy="2295525"/>
            <wp:effectExtent l="9525" t="9525" r="11430" b="11430"/>
            <wp:docPr id="2" name="图片 2" descr="0bf9b6f7dcfe7ecea0830f6249aa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0bf9b6f7dcfe7ecea0830f6249aa222"/>
                    <pic:cNvPicPr>
                      <a:picLocks noChangeAspect="1"/>
                    </pic:cNvPicPr>
                  </pic:nvPicPr>
                  <pic:blipFill>
                    <a:blip r:embed="rId5"/>
                    <a:srcRect l="11962" t="19546" r="11132" b="27561"/>
                    <a:stretch>
                      <a:fillRect/>
                    </a:stretch>
                  </pic:blipFill>
                  <pic:spPr>
                    <a:xfrm>
                      <a:off x="0" y="0"/>
                      <a:ext cx="2204085" cy="2295525"/>
                    </a:xfrm>
                    <a:prstGeom prst="rect">
                      <a:avLst/>
                    </a:prstGeom>
                    <a:ln>
                      <a:solidFill>
                        <a:schemeClr val="tx1"/>
                      </a:solidFill>
                    </a:ln>
                  </pic:spPr>
                </pic:pic>
              </a:graphicData>
            </a:graphic>
          </wp:inline>
        </w:drawing>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168FFB">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2C1834">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E2C1834">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D15226"/>
    <w:multiLevelType w:val="singleLevel"/>
    <w:tmpl w:val="97D15226"/>
    <w:lvl w:ilvl="0" w:tentative="0">
      <w:start w:val="1"/>
      <w:numFmt w:val="decimal"/>
      <w:suff w:val="space"/>
      <w:lvlText w:val="%1."/>
      <w:lvlJc w:val="left"/>
      <w:pPr>
        <w:ind w:left="0" w:firstLine="480"/>
      </w:pPr>
      <w:rPr>
        <w:rFonts w:hint="default"/>
      </w:rPr>
    </w:lvl>
  </w:abstractNum>
  <w:abstractNum w:abstractNumId="1">
    <w:nsid w:val="AB7A95B3"/>
    <w:multiLevelType w:val="singleLevel"/>
    <w:tmpl w:val="AB7A95B3"/>
    <w:lvl w:ilvl="0" w:tentative="0">
      <w:start w:val="1"/>
      <w:numFmt w:val="decimal"/>
      <w:suff w:val="space"/>
      <w:lvlText w:val="%1."/>
      <w:lvlJc w:val="left"/>
      <w:pPr>
        <w:ind w:left="0" w:firstLine="482"/>
      </w:pPr>
      <w:rPr>
        <w:rFonts w:hint="default"/>
      </w:rPr>
    </w:lvl>
  </w:abstractNum>
  <w:abstractNum w:abstractNumId="2">
    <w:nsid w:val="DDD5D4DA"/>
    <w:multiLevelType w:val="singleLevel"/>
    <w:tmpl w:val="DDD5D4DA"/>
    <w:lvl w:ilvl="0" w:tentative="0">
      <w:start w:val="1"/>
      <w:numFmt w:val="decimal"/>
      <w:suff w:val="space"/>
      <w:lvlText w:val="%1"/>
      <w:lvlJc w:val="left"/>
      <w:pPr>
        <w:ind w:left="0" w:firstLine="480"/>
      </w:pPr>
      <w:rPr>
        <w:rFonts w:hint="default"/>
      </w:rPr>
    </w:lvl>
  </w:abstractNum>
  <w:abstractNum w:abstractNumId="3">
    <w:nsid w:val="26BD42F4"/>
    <w:multiLevelType w:val="singleLevel"/>
    <w:tmpl w:val="26BD42F4"/>
    <w:lvl w:ilvl="0" w:tentative="0">
      <w:start w:val="1"/>
      <w:numFmt w:val="chineseCounting"/>
      <w:suff w:val="nothing"/>
      <w:lvlText w:val="%1、"/>
      <w:lvlJc w:val="left"/>
      <w:pPr>
        <w:ind w:left="0" w:firstLine="0"/>
      </w:pPr>
      <w:rPr>
        <w:rFonts w:hint="eastAsia"/>
      </w:rPr>
    </w:lvl>
  </w:abstractNum>
  <w:abstractNum w:abstractNumId="4">
    <w:nsid w:val="6EE987C4"/>
    <w:multiLevelType w:val="singleLevel"/>
    <w:tmpl w:val="6EE987C4"/>
    <w:lvl w:ilvl="0" w:tentative="0">
      <w:start w:val="1"/>
      <w:numFmt w:val="decimal"/>
      <w:suff w:val="space"/>
      <w:lvlText w:val="%1."/>
      <w:lvlJc w:val="left"/>
      <w:pPr>
        <w:ind w:left="0" w:firstLine="482"/>
      </w:pPr>
      <w:rPr>
        <w:rFonts w:hint="default"/>
      </w:rPr>
    </w:lvl>
  </w:abstractNum>
  <w:abstractNum w:abstractNumId="5">
    <w:nsid w:val="71849109"/>
    <w:multiLevelType w:val="singleLevel"/>
    <w:tmpl w:val="71849109"/>
    <w:lvl w:ilvl="0" w:tentative="0">
      <w:start w:val="1"/>
      <w:numFmt w:val="decimal"/>
      <w:suff w:val="space"/>
      <w:lvlText w:val="%1."/>
      <w:lvlJc w:val="left"/>
      <w:pPr>
        <w:ind w:left="0" w:firstLine="482"/>
      </w:pPr>
      <w:rPr>
        <w:rFonts w:hint="default"/>
      </w:rPr>
    </w:lvl>
  </w:abstractNum>
  <w:num w:numId="1">
    <w:abstractNumId w:val="3"/>
  </w:num>
  <w:num w:numId="2">
    <w:abstractNumId w:val="4"/>
  </w:num>
  <w:num w:numId="3">
    <w:abstractNumId w:val="1"/>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M3NDNlZDViZDI5YzVlMTZhYzFmZTEwNDA1YjFhMGYifQ=="/>
  </w:docVars>
  <w:rsids>
    <w:rsidRoot w:val="00C9440C"/>
    <w:rsid w:val="001E1C73"/>
    <w:rsid w:val="003F5F2A"/>
    <w:rsid w:val="004424B0"/>
    <w:rsid w:val="004D5A5F"/>
    <w:rsid w:val="0065175B"/>
    <w:rsid w:val="006B1B05"/>
    <w:rsid w:val="0070755D"/>
    <w:rsid w:val="0072152E"/>
    <w:rsid w:val="00955848"/>
    <w:rsid w:val="00C9440C"/>
    <w:rsid w:val="00DA320C"/>
    <w:rsid w:val="00EB3304"/>
    <w:rsid w:val="00EE3311"/>
    <w:rsid w:val="00F83601"/>
    <w:rsid w:val="00F90D8E"/>
    <w:rsid w:val="011C59CD"/>
    <w:rsid w:val="01675739"/>
    <w:rsid w:val="017B2F92"/>
    <w:rsid w:val="032F04D8"/>
    <w:rsid w:val="0365214C"/>
    <w:rsid w:val="04155920"/>
    <w:rsid w:val="0433224A"/>
    <w:rsid w:val="0456237A"/>
    <w:rsid w:val="049F37E8"/>
    <w:rsid w:val="04B3380C"/>
    <w:rsid w:val="05031C1C"/>
    <w:rsid w:val="05816FE5"/>
    <w:rsid w:val="05F81055"/>
    <w:rsid w:val="062005AC"/>
    <w:rsid w:val="06E6567E"/>
    <w:rsid w:val="06F159CD"/>
    <w:rsid w:val="07E06245"/>
    <w:rsid w:val="099A0675"/>
    <w:rsid w:val="09AB61E5"/>
    <w:rsid w:val="0A125155"/>
    <w:rsid w:val="0A2F1DA4"/>
    <w:rsid w:val="0BC641ED"/>
    <w:rsid w:val="0C6822E1"/>
    <w:rsid w:val="0CF74AB8"/>
    <w:rsid w:val="0D307327"/>
    <w:rsid w:val="11A46535"/>
    <w:rsid w:val="11CE06EA"/>
    <w:rsid w:val="122907E8"/>
    <w:rsid w:val="14A359F5"/>
    <w:rsid w:val="14D26F15"/>
    <w:rsid w:val="14D507B4"/>
    <w:rsid w:val="158521DA"/>
    <w:rsid w:val="15910B7E"/>
    <w:rsid w:val="15BD1974"/>
    <w:rsid w:val="162419F3"/>
    <w:rsid w:val="165878EE"/>
    <w:rsid w:val="171862DF"/>
    <w:rsid w:val="176F3141"/>
    <w:rsid w:val="187C5B16"/>
    <w:rsid w:val="18F02060"/>
    <w:rsid w:val="18F90F15"/>
    <w:rsid w:val="192817FA"/>
    <w:rsid w:val="19502AFF"/>
    <w:rsid w:val="19744A3F"/>
    <w:rsid w:val="1A911621"/>
    <w:rsid w:val="1BC53330"/>
    <w:rsid w:val="1DE71C83"/>
    <w:rsid w:val="1E0738A7"/>
    <w:rsid w:val="1E62130A"/>
    <w:rsid w:val="1EA47B74"/>
    <w:rsid w:val="1ECB3353"/>
    <w:rsid w:val="1F4D6119"/>
    <w:rsid w:val="1F752D72"/>
    <w:rsid w:val="21515666"/>
    <w:rsid w:val="22261036"/>
    <w:rsid w:val="22DD4148"/>
    <w:rsid w:val="24B77ED6"/>
    <w:rsid w:val="250E3F9A"/>
    <w:rsid w:val="25140E84"/>
    <w:rsid w:val="25EC4515"/>
    <w:rsid w:val="26971D6D"/>
    <w:rsid w:val="277773B2"/>
    <w:rsid w:val="279A1B15"/>
    <w:rsid w:val="28312E36"/>
    <w:rsid w:val="28930C7B"/>
    <w:rsid w:val="28A73468"/>
    <w:rsid w:val="2ADE4828"/>
    <w:rsid w:val="2B336ED3"/>
    <w:rsid w:val="2C3F3C21"/>
    <w:rsid w:val="2C9B0137"/>
    <w:rsid w:val="2CF972DD"/>
    <w:rsid w:val="2CFC5020"/>
    <w:rsid w:val="2E1168A9"/>
    <w:rsid w:val="2E190FA2"/>
    <w:rsid w:val="2EA27501"/>
    <w:rsid w:val="2EAC496F"/>
    <w:rsid w:val="2F807842"/>
    <w:rsid w:val="2F8D6403"/>
    <w:rsid w:val="306E7FE2"/>
    <w:rsid w:val="32784055"/>
    <w:rsid w:val="331A7FAD"/>
    <w:rsid w:val="338B0EAB"/>
    <w:rsid w:val="3398133E"/>
    <w:rsid w:val="33B676F2"/>
    <w:rsid w:val="33D53ED4"/>
    <w:rsid w:val="34A00986"/>
    <w:rsid w:val="3587514D"/>
    <w:rsid w:val="35AE2C2F"/>
    <w:rsid w:val="37E0102F"/>
    <w:rsid w:val="38C033A5"/>
    <w:rsid w:val="39672100"/>
    <w:rsid w:val="3BC82C9D"/>
    <w:rsid w:val="3C544530"/>
    <w:rsid w:val="3C97441D"/>
    <w:rsid w:val="3CFB2BFE"/>
    <w:rsid w:val="3D304850"/>
    <w:rsid w:val="3DF8713D"/>
    <w:rsid w:val="3E4D2BB5"/>
    <w:rsid w:val="3E724C48"/>
    <w:rsid w:val="3EF73899"/>
    <w:rsid w:val="3F24677A"/>
    <w:rsid w:val="3F5B3E28"/>
    <w:rsid w:val="3F8B41CF"/>
    <w:rsid w:val="3F9B2476"/>
    <w:rsid w:val="403005F9"/>
    <w:rsid w:val="40471942"/>
    <w:rsid w:val="40A1586A"/>
    <w:rsid w:val="41016309"/>
    <w:rsid w:val="42AD609A"/>
    <w:rsid w:val="42B86E9B"/>
    <w:rsid w:val="42EF4FB3"/>
    <w:rsid w:val="4315253F"/>
    <w:rsid w:val="43D47D05"/>
    <w:rsid w:val="460A2D20"/>
    <w:rsid w:val="481B4154"/>
    <w:rsid w:val="4A353DE2"/>
    <w:rsid w:val="4A7B35D0"/>
    <w:rsid w:val="4A800BE6"/>
    <w:rsid w:val="4A897A9B"/>
    <w:rsid w:val="4ADA02F6"/>
    <w:rsid w:val="4BBA1ED6"/>
    <w:rsid w:val="4BE3142D"/>
    <w:rsid w:val="4C5440D8"/>
    <w:rsid w:val="4CAD7A2A"/>
    <w:rsid w:val="4D576117"/>
    <w:rsid w:val="4EB250E6"/>
    <w:rsid w:val="4EFF3A9B"/>
    <w:rsid w:val="4F195165"/>
    <w:rsid w:val="4F776199"/>
    <w:rsid w:val="4F8E7901"/>
    <w:rsid w:val="4FDF015D"/>
    <w:rsid w:val="50502E09"/>
    <w:rsid w:val="50CB4998"/>
    <w:rsid w:val="50D77086"/>
    <w:rsid w:val="512C73D2"/>
    <w:rsid w:val="51A1261D"/>
    <w:rsid w:val="51F4532B"/>
    <w:rsid w:val="5224454D"/>
    <w:rsid w:val="52976ACD"/>
    <w:rsid w:val="5397660A"/>
    <w:rsid w:val="53C27B7A"/>
    <w:rsid w:val="545B74F3"/>
    <w:rsid w:val="547846DC"/>
    <w:rsid w:val="555C7B5A"/>
    <w:rsid w:val="56350AD7"/>
    <w:rsid w:val="565E489A"/>
    <w:rsid w:val="572D5C52"/>
    <w:rsid w:val="57A51C8C"/>
    <w:rsid w:val="59C53F20"/>
    <w:rsid w:val="5A355549"/>
    <w:rsid w:val="5C8C6F77"/>
    <w:rsid w:val="5CF15B18"/>
    <w:rsid w:val="5D784E50"/>
    <w:rsid w:val="5E0A2849"/>
    <w:rsid w:val="5E0A45F7"/>
    <w:rsid w:val="5E8B659F"/>
    <w:rsid w:val="5F324C8B"/>
    <w:rsid w:val="5F761901"/>
    <w:rsid w:val="60E125F2"/>
    <w:rsid w:val="61692C57"/>
    <w:rsid w:val="6213404B"/>
    <w:rsid w:val="63FD4CAA"/>
    <w:rsid w:val="64295781"/>
    <w:rsid w:val="659375C8"/>
    <w:rsid w:val="65B0017A"/>
    <w:rsid w:val="668B64F1"/>
    <w:rsid w:val="671771FC"/>
    <w:rsid w:val="68091DC3"/>
    <w:rsid w:val="683055A2"/>
    <w:rsid w:val="68EC771B"/>
    <w:rsid w:val="6A0C7949"/>
    <w:rsid w:val="6BAA763E"/>
    <w:rsid w:val="6D6F4477"/>
    <w:rsid w:val="6DDF16DC"/>
    <w:rsid w:val="6DFB7961"/>
    <w:rsid w:val="6E4C47B8"/>
    <w:rsid w:val="6EBE56B6"/>
    <w:rsid w:val="6F562B93"/>
    <w:rsid w:val="6F800BBD"/>
    <w:rsid w:val="6FF2313D"/>
    <w:rsid w:val="70275C90"/>
    <w:rsid w:val="70EF637C"/>
    <w:rsid w:val="71DD22F7"/>
    <w:rsid w:val="71E371E1"/>
    <w:rsid w:val="723B0DCB"/>
    <w:rsid w:val="72E7271E"/>
    <w:rsid w:val="72ED47BB"/>
    <w:rsid w:val="733359A5"/>
    <w:rsid w:val="73E7784A"/>
    <w:rsid w:val="73FB2F08"/>
    <w:rsid w:val="74F022CD"/>
    <w:rsid w:val="74F82FA3"/>
    <w:rsid w:val="757F5473"/>
    <w:rsid w:val="759529A3"/>
    <w:rsid w:val="75E35A02"/>
    <w:rsid w:val="77D31AA6"/>
    <w:rsid w:val="790C6D01"/>
    <w:rsid w:val="7A344A7E"/>
    <w:rsid w:val="7B0030E1"/>
    <w:rsid w:val="7BC35CA8"/>
    <w:rsid w:val="7BE56DAE"/>
    <w:rsid w:val="7C0E4EAB"/>
    <w:rsid w:val="7D04018A"/>
    <w:rsid w:val="7D0C1CE2"/>
    <w:rsid w:val="7D0D160C"/>
    <w:rsid w:val="7EB805C2"/>
    <w:rsid w:val="7F070167"/>
    <w:rsid w:val="7F4C4618"/>
    <w:rsid w:val="7F8B6916"/>
    <w:rsid w:val="7F9241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宋体"/>
      <w:kern w:val="2"/>
      <w:sz w:val="28"/>
      <w:szCs w:val="28"/>
      <w:lang w:val="en-US" w:eastAsia="zh-CN" w:bidi="ar-SA"/>
    </w:rPr>
  </w:style>
  <w:style w:type="paragraph" w:styleId="2">
    <w:name w:val="heading 1"/>
    <w:next w:val="1"/>
    <w:qFormat/>
    <w:uiPriority w:val="9"/>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unhideWhenUsed/>
    <w:qFormat/>
    <w:uiPriority w:val="9"/>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4">
    <w:name w:val="heading 3"/>
    <w:next w:val="1"/>
    <w:unhideWhenUsed/>
    <w:qFormat/>
    <w:uiPriority w:val="9"/>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paragraph" w:styleId="5">
    <w:name w:val="heading 4"/>
    <w:next w:val="1"/>
    <w:link w:val="26"/>
    <w:unhideWhenUsed/>
    <w:qFormat/>
    <w:uiPriority w:val="9"/>
    <w:pPr>
      <w:keepNext/>
      <w:keepLines/>
      <w:widowControl w:val="0"/>
      <w:adjustRightInd w:val="0"/>
      <w:spacing w:before="200" w:line="300" w:lineRule="auto"/>
      <w:jc w:val="both"/>
      <w:outlineLvl w:val="3"/>
    </w:pPr>
    <w:rPr>
      <w:rFonts w:ascii="Times New Roman" w:hAnsi="Times New Roman" w:eastAsia="黑体" w:cs="Times New Roman"/>
      <w:bCs/>
      <w:kern w:val="2"/>
      <w:sz w:val="28"/>
      <w:szCs w:val="28"/>
      <w:lang w:bidi="ar-SA"/>
    </w:rPr>
  </w:style>
  <w:style w:type="paragraph" w:styleId="6">
    <w:name w:val="heading 5"/>
    <w:next w:val="1"/>
    <w:link w:val="28"/>
    <w:unhideWhenUsed/>
    <w:qFormat/>
    <w:uiPriority w:val="9"/>
    <w:pPr>
      <w:keepNext/>
      <w:keepLines/>
      <w:widowControl w:val="0"/>
      <w:adjustRightInd w:val="0"/>
      <w:spacing w:before="160" w:line="300" w:lineRule="auto"/>
      <w:jc w:val="both"/>
      <w:outlineLvl w:val="4"/>
    </w:pPr>
    <w:rPr>
      <w:rFonts w:ascii="Times New Roman" w:hAnsi="Times New Roman" w:eastAsia="黑体" w:cs="Times New Roman"/>
      <w:bCs/>
      <w:kern w:val="2"/>
      <w:sz w:val="28"/>
      <w:szCs w:val="28"/>
      <w:lang w:bidi="ar-SA"/>
    </w:rPr>
  </w:style>
  <w:style w:type="paragraph" w:styleId="7">
    <w:name w:val="heading 6"/>
    <w:next w:val="1"/>
    <w:semiHidden/>
    <w:unhideWhenUsed/>
    <w:qFormat/>
    <w:uiPriority w:val="9"/>
    <w:pPr>
      <w:keepNext/>
      <w:keepLines/>
      <w:widowControl w:val="0"/>
      <w:adjustRightInd w:val="0"/>
      <w:spacing w:before="120" w:line="300" w:lineRule="auto"/>
      <w:jc w:val="both"/>
      <w:outlineLvl w:val="5"/>
    </w:pPr>
    <w:rPr>
      <w:rFonts w:ascii="Times New Roman" w:hAnsi="Times New Roman" w:eastAsia="黑体" w:cs="Times New Roman"/>
      <w:bCs/>
      <w:kern w:val="2"/>
      <w:sz w:val="28"/>
      <w:szCs w:val="24"/>
      <w:lang w:bidi="ar-SA"/>
    </w:rPr>
  </w:style>
  <w:style w:type="paragraph" w:styleId="8">
    <w:name w:val="heading 7"/>
    <w:next w:val="1"/>
    <w:semiHidden/>
    <w:unhideWhenUsed/>
    <w:qFormat/>
    <w:uiPriority w:val="9"/>
    <w:pPr>
      <w:keepNext/>
      <w:keepLines/>
      <w:widowControl w:val="0"/>
      <w:adjustRightInd w:val="0"/>
      <w:spacing w:before="120" w:line="300" w:lineRule="auto"/>
      <w:jc w:val="both"/>
      <w:outlineLvl w:val="6"/>
    </w:pPr>
    <w:rPr>
      <w:rFonts w:ascii="Times New Roman" w:hAnsi="Times New Roman" w:eastAsia="黑体" w:cs="Times New Roman"/>
      <w:bCs/>
      <w:kern w:val="2"/>
      <w:sz w:val="24"/>
      <w:szCs w:val="24"/>
      <w:lang w:bidi="ar-SA"/>
    </w:rPr>
  </w:style>
  <w:style w:type="paragraph" w:styleId="9">
    <w:name w:val="heading 8"/>
    <w:next w:val="1"/>
    <w:semiHidden/>
    <w:unhideWhenUsed/>
    <w:qFormat/>
    <w:uiPriority w:val="9"/>
    <w:pPr>
      <w:keepNext/>
      <w:keepLines/>
      <w:widowControl w:val="0"/>
      <w:adjustRightInd w:val="0"/>
      <w:spacing w:before="120" w:line="300" w:lineRule="auto"/>
      <w:jc w:val="both"/>
      <w:outlineLvl w:val="7"/>
    </w:pPr>
    <w:rPr>
      <w:rFonts w:ascii="Times New Roman" w:hAnsi="Times New Roman" w:eastAsia="黑体" w:cs="Times New Roman"/>
      <w:kern w:val="2"/>
      <w:sz w:val="24"/>
      <w:szCs w:val="24"/>
      <w:lang w:bidi="ar-SA"/>
    </w:rPr>
  </w:style>
  <w:style w:type="paragraph" w:styleId="10">
    <w:name w:val="heading 9"/>
    <w:next w:val="1"/>
    <w:semiHidden/>
    <w:unhideWhenUsed/>
    <w:qFormat/>
    <w:uiPriority w:val="9"/>
    <w:pPr>
      <w:keepNext/>
      <w:keepLines/>
      <w:widowControl w:val="0"/>
      <w:adjustRightInd w:val="0"/>
      <w:spacing w:before="120" w:line="300" w:lineRule="auto"/>
      <w:jc w:val="both"/>
      <w:outlineLvl w:val="8"/>
    </w:pPr>
    <w:rPr>
      <w:rFonts w:ascii="Times New Roman" w:hAnsi="Times New Roman" w:eastAsia="黑体" w:cs="Times New Roman"/>
      <w:kern w:val="2"/>
      <w:sz w:val="21"/>
      <w:szCs w:val="21"/>
      <w:lang w:bidi="ar-SA"/>
    </w:rPr>
  </w:style>
  <w:style w:type="character" w:default="1" w:styleId="27">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semiHidden/>
    <w:unhideWhenUsed/>
    <w:qFormat/>
    <w:uiPriority w:val="99"/>
    <w:pPr>
      <w:jc w:val="left"/>
    </w:pPr>
  </w:style>
  <w:style w:type="paragraph" w:styleId="12">
    <w:name w:val="Body Text"/>
    <w:semiHidden/>
    <w:unhideWhenUsed/>
    <w:uiPriority w:val="99"/>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13">
    <w:name w:val="footer"/>
    <w:basedOn w:val="1"/>
    <w:link w:val="30"/>
    <w:unhideWhenUsed/>
    <w:qFormat/>
    <w:uiPriority w:val="99"/>
    <w:pPr>
      <w:tabs>
        <w:tab w:val="center" w:pos="4153"/>
        <w:tab w:val="right" w:pos="8306"/>
      </w:tabs>
      <w:snapToGrid w:val="0"/>
      <w:jc w:val="left"/>
    </w:pPr>
    <w:rPr>
      <w:sz w:val="18"/>
      <w:szCs w:val="18"/>
    </w:rPr>
  </w:style>
  <w:style w:type="paragraph" w:styleId="14">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Subtitle"/>
    <w:qFormat/>
    <w:uiPriority w:val="11"/>
    <w:pPr>
      <w:widowControl w:val="0"/>
      <w:adjustRightInd w:val="0"/>
      <w:spacing w:before="100" w:after="100" w:line="240" w:lineRule="auto"/>
      <w:jc w:val="center"/>
      <w:outlineLvl w:val="9"/>
    </w:pPr>
    <w:rPr>
      <w:rFonts w:ascii="Times New Roman" w:hAnsi="Times New Roman" w:eastAsia="黑体" w:cs="Times New Roman"/>
      <w:kern w:val="28"/>
      <w:sz w:val="32"/>
      <w:szCs w:val="24"/>
      <w:lang w:bidi="ar-SA"/>
    </w:rPr>
  </w:style>
  <w:style w:type="paragraph" w:styleId="1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7">
    <w:name w:val="Title"/>
    <w:next w:val="1"/>
    <w:qFormat/>
    <w:uiPriority w:val="10"/>
    <w:pPr>
      <w:widowControl w:val="0"/>
      <w:adjustRightInd w:val="0"/>
      <w:spacing w:before="100" w:beforeAutospacing="0" w:after="100" w:afterAutospacing="0" w:line="240" w:lineRule="auto"/>
      <w:jc w:val="center"/>
      <w:outlineLvl w:val="9"/>
    </w:pPr>
    <w:rPr>
      <w:rFonts w:ascii="Times New Roman" w:hAnsi="Times New Roman" w:eastAsia="黑体" w:cs="Times New Roman"/>
      <w:kern w:val="2"/>
      <w:sz w:val="36"/>
      <w:szCs w:val="24"/>
      <w:lang w:bidi="ar-SA"/>
    </w:rPr>
  </w:style>
  <w:style w:type="table" w:styleId="19">
    <w:name w:val="Table Grid"/>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7"/>
    <w:qFormat/>
    <w:uiPriority w:val="22"/>
    <w:rPr>
      <w:b/>
    </w:rPr>
  </w:style>
  <w:style w:type="character" w:styleId="22">
    <w:name w:val="Hyperlink"/>
    <w:basedOn w:val="27"/>
    <w:semiHidden/>
    <w:unhideWhenUsed/>
    <w:qFormat/>
    <w:uiPriority w:val="99"/>
    <w:rPr>
      <w:color w:val="0000FF"/>
      <w:u w:val="single"/>
    </w:rPr>
  </w:style>
  <w:style w:type="character" w:customStyle="1" w:styleId="23">
    <w:name w:val="标题 2 Char"/>
    <w:basedOn w:val="27"/>
    <w:qFormat/>
    <w:uiPriority w:val="9"/>
    <w:rPr>
      <w:rFonts w:eastAsia="宋体" w:asciiTheme="majorHAnsi" w:hAnsiTheme="majorHAnsi" w:cstheme="majorBidi"/>
      <w:b/>
      <w:bCs/>
      <w:sz w:val="32"/>
      <w:szCs w:val="32"/>
    </w:rPr>
  </w:style>
  <w:style w:type="character" w:customStyle="1" w:styleId="24">
    <w:name w:val="标题 Char"/>
    <w:basedOn w:val="27"/>
    <w:qFormat/>
    <w:uiPriority w:val="10"/>
    <w:rPr>
      <w:rFonts w:eastAsia="宋体" w:asciiTheme="majorHAnsi" w:hAnsiTheme="majorHAnsi" w:cstheme="majorBidi"/>
      <w:b/>
      <w:bCs/>
      <w:sz w:val="32"/>
      <w:szCs w:val="32"/>
    </w:rPr>
  </w:style>
  <w:style w:type="character" w:customStyle="1" w:styleId="25">
    <w:name w:val="标题 3 Char"/>
    <w:basedOn w:val="27"/>
    <w:qFormat/>
    <w:uiPriority w:val="9"/>
    <w:rPr>
      <w:rFonts w:eastAsia="宋体"/>
      <w:b/>
      <w:bCs/>
      <w:sz w:val="32"/>
      <w:szCs w:val="32"/>
    </w:rPr>
  </w:style>
  <w:style w:type="character" w:customStyle="1" w:styleId="26">
    <w:name w:val="标题 4 Char"/>
    <w:basedOn w:val="27"/>
    <w:link w:val="5"/>
    <w:qFormat/>
    <w:uiPriority w:val="9"/>
    <w:rPr>
      <w:rFonts w:ascii="Times New Roman" w:hAnsi="Times New Roman" w:eastAsia="黑体" w:cs="Times New Roman"/>
      <w:bCs/>
      <w:kern w:val="2"/>
      <w:sz w:val="28"/>
      <w:szCs w:val="28"/>
    </w:rPr>
  </w:style>
  <w:style w:type="character" w:customStyle="1" w:styleId="28">
    <w:name w:val="标题 5 Char"/>
    <w:basedOn w:val="27"/>
    <w:link w:val="6"/>
    <w:qFormat/>
    <w:uiPriority w:val="9"/>
    <w:rPr>
      <w:rFonts w:ascii="Times New Roman" w:hAnsi="Times New Roman" w:eastAsia="黑体" w:cs="Times New Roman"/>
      <w:bCs/>
      <w:kern w:val="2"/>
      <w:sz w:val="28"/>
      <w:szCs w:val="28"/>
    </w:rPr>
  </w:style>
  <w:style w:type="character" w:customStyle="1" w:styleId="29">
    <w:name w:val="页眉 Char"/>
    <w:basedOn w:val="27"/>
    <w:link w:val="14"/>
    <w:qFormat/>
    <w:uiPriority w:val="99"/>
    <w:rPr>
      <w:rFonts w:ascii="宋体" w:hAnsi="宋体" w:eastAsia="宋体" w:cs="宋体"/>
      <w:sz w:val="18"/>
      <w:szCs w:val="18"/>
    </w:rPr>
  </w:style>
  <w:style w:type="character" w:customStyle="1" w:styleId="30">
    <w:name w:val="页脚 Char"/>
    <w:basedOn w:val="27"/>
    <w:link w:val="13"/>
    <w:qFormat/>
    <w:uiPriority w:val="99"/>
    <w:rPr>
      <w:rFonts w:ascii="宋体" w:hAnsi="宋体" w:eastAsia="宋体" w:cs="宋体"/>
      <w:sz w:val="18"/>
      <w:szCs w:val="18"/>
    </w:rPr>
  </w:style>
  <w:style w:type="table" w:customStyle="1" w:styleId="31">
    <w:name w:val="標準の表"/>
    <w:basedOn w:val="18"/>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1278</Words>
  <Characters>1401</Characters>
  <Lines>3</Lines>
  <Paragraphs>1</Paragraphs>
  <TotalTime>37</TotalTime>
  <ScaleCrop>false</ScaleCrop>
  <LinksUpToDate>false</LinksUpToDate>
  <CharactersWithSpaces>1420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2023-10-11T08:12:00Z</dcterms:created>
  <dc:creator>林宇健</dc:creator>
  <cp:lastModifiedBy>奕渠</cp:lastModifiedBy>
  <dcterms:modified xsi:type="dcterms:W3CDTF">2026-06-24T02:16:28Z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367A99D62BF14C3E8D79144359E08832_12</vt:lpwstr>
  </property>
  <property fmtid="{D5CDD505-2E9C-101B-9397-08002B2CF9AE}" pid="4" name="KSOTemplateDocerSaveRecord">
    <vt:lpwstr>eyJoZGlkIjoiNDY2YmRhYzMwODQxMGM2N2QyYWFiYTEyYTk3N2JhMDkiLCJ1c2VySWQiOiIzMjk3ODU0MzYifQ==</vt:lpwstr>
  </property>
</Properties>
</file>