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11AE5">
      <w:pPr>
        <w:spacing w:line="360" w:lineRule="auto"/>
        <w:jc w:val="center"/>
        <w:rPr>
          <w:rFonts w:hint="eastAsia" w:cs="宋体"/>
          <w:b/>
          <w:bCs/>
          <w:sz w:val="28"/>
          <w:szCs w:val="28"/>
          <w:lang w:val="en-US" w:eastAsia="zh-CN"/>
        </w:rPr>
      </w:pPr>
      <w:r>
        <w:rPr>
          <w:rFonts w:hint="eastAsia" w:ascii="宋体" w:hAnsi="宋体" w:eastAsia="宋体" w:cs="宋体"/>
          <w:b/>
          <w:color w:val="auto"/>
          <w:sz w:val="36"/>
          <w:szCs w:val="36"/>
          <w:highlight w:val="none"/>
          <w:lang w:val="en-US" w:eastAsia="zh-CN"/>
        </w:rPr>
        <w:t>“</w:t>
      </w:r>
      <w:r>
        <w:rPr>
          <w:rFonts w:hint="eastAsia" w:ascii="宋体" w:hAnsi="宋体" w:eastAsia="宋体" w:cs="宋体"/>
          <w:b/>
          <w:color w:val="auto"/>
          <w:sz w:val="36"/>
          <w:szCs w:val="36"/>
          <w:highlight w:val="none"/>
        </w:rPr>
        <w:t>涉外商贸与知识产权</w:t>
      </w:r>
      <w:r>
        <w:rPr>
          <w:rFonts w:hint="eastAsia" w:ascii="宋体" w:hAnsi="宋体" w:eastAsia="宋体" w:cs="宋体"/>
          <w:b/>
          <w:color w:val="auto"/>
          <w:sz w:val="36"/>
          <w:szCs w:val="36"/>
          <w:highlight w:val="none"/>
          <w:lang w:eastAsia="zh-CN"/>
        </w:rPr>
        <w:t>”</w:t>
      </w:r>
      <w:r>
        <w:rPr>
          <w:rFonts w:hint="eastAsia" w:ascii="宋体" w:hAnsi="宋体" w:eastAsia="宋体" w:cs="宋体"/>
          <w:b/>
          <w:color w:val="auto"/>
          <w:sz w:val="36"/>
          <w:szCs w:val="36"/>
          <w:highlight w:val="none"/>
          <w:lang w:val="en-US" w:eastAsia="zh-CN"/>
        </w:rPr>
        <w:t>微</w:t>
      </w:r>
      <w:r>
        <w:rPr>
          <w:rFonts w:hint="eastAsia" w:ascii="宋体" w:hAnsi="宋体" w:eastAsia="宋体" w:cs="宋体"/>
          <w:b/>
          <w:color w:val="auto"/>
          <w:sz w:val="36"/>
          <w:szCs w:val="36"/>
          <w:highlight w:val="none"/>
        </w:rPr>
        <w:t>专业</w:t>
      </w:r>
      <w:r>
        <w:rPr>
          <w:rFonts w:hint="eastAsia" w:ascii="宋体" w:hAnsi="宋体" w:eastAsia="宋体" w:cs="宋体"/>
          <w:b/>
          <w:color w:val="auto"/>
          <w:sz w:val="36"/>
          <w:szCs w:val="36"/>
          <w:highlight w:val="none"/>
          <w:lang w:val="en-US" w:eastAsia="zh-CN"/>
        </w:rPr>
        <w:t>招生简章</w:t>
      </w:r>
    </w:p>
    <w:p w14:paraId="30B1C062">
      <w:pPr>
        <w:spacing w:line="360" w:lineRule="auto"/>
        <w:rPr>
          <w:rFonts w:hint="eastAsia" w:cs="宋体"/>
          <w:b/>
          <w:bCs/>
          <w:sz w:val="28"/>
          <w:szCs w:val="28"/>
          <w:lang w:val="en-US" w:eastAsia="zh-CN"/>
        </w:rPr>
      </w:pPr>
    </w:p>
    <w:p w14:paraId="6AF435D1">
      <w:pPr>
        <w:pStyle w:val="9"/>
        <w:widowControl/>
        <w:shd w:val="clear" w:color="auto" w:fill="FFFFFF"/>
        <w:spacing w:before="156" w:beforeLines="50" w:beforeAutospacing="0" w:after="156" w:afterLines="50" w:afterAutospacing="0" w:line="360" w:lineRule="auto"/>
        <w:ind w:firstLine="562" w:firstLineChars="200"/>
        <w:rPr>
          <w:rStyle w:val="14"/>
          <w:rFonts w:hint="default" w:eastAsia="宋体" w:asciiTheme="minorEastAsia" w:hAnsiTheme="minorEastAsia" w:cstheme="minorEastAsia"/>
          <w:color w:val="000000"/>
          <w:sz w:val="28"/>
          <w:szCs w:val="28"/>
          <w:shd w:val="clear" w:color="auto" w:fill="FFFFFF"/>
          <w:lang w:val="en-US" w:eastAsia="zh-CN"/>
        </w:rPr>
      </w:pPr>
      <w:r>
        <w:rPr>
          <w:rStyle w:val="14"/>
          <w:rFonts w:hint="eastAsia" w:asciiTheme="minorEastAsia" w:hAnsiTheme="minorEastAsia" w:cstheme="minorEastAsia"/>
          <w:color w:val="000000"/>
          <w:sz w:val="28"/>
          <w:szCs w:val="28"/>
          <w:shd w:val="clear" w:color="auto" w:fill="FFFFFF"/>
          <w:lang w:val="en-US" w:eastAsia="zh-CN"/>
        </w:rPr>
        <w:t>一</w:t>
      </w:r>
      <w:r>
        <w:rPr>
          <w:rStyle w:val="14"/>
          <w:rFonts w:hint="eastAsia" w:eastAsia="宋体" w:asciiTheme="minorEastAsia" w:hAnsiTheme="minorEastAsia" w:cstheme="minorEastAsia"/>
          <w:color w:val="000000"/>
          <w:sz w:val="28"/>
          <w:szCs w:val="28"/>
          <w:shd w:val="clear" w:color="auto" w:fill="FFFFFF"/>
        </w:rPr>
        <w:t>、</w:t>
      </w:r>
      <w:r>
        <w:rPr>
          <w:rStyle w:val="14"/>
          <w:rFonts w:hint="eastAsia" w:asciiTheme="minorEastAsia" w:hAnsiTheme="minorEastAsia" w:cstheme="minorEastAsia"/>
          <w:color w:val="000000"/>
          <w:sz w:val="28"/>
          <w:szCs w:val="28"/>
          <w:shd w:val="clear" w:color="auto" w:fill="FFFFFF"/>
          <w:lang w:val="en-US" w:eastAsia="zh-CN"/>
        </w:rPr>
        <w:t>微专业简介</w:t>
      </w:r>
    </w:p>
    <w:p w14:paraId="63D7A3B5">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color w:val="000000"/>
          <w:sz w:val="24"/>
          <w:szCs w:val="24"/>
          <w:lang w:val="en-US" w:eastAsia="zh-CN" w:bidi="ar"/>
        </w:rPr>
        <w:t>为响应教育部和省教育厅“双千”计划，推进</w:t>
      </w:r>
      <w:r>
        <w:rPr>
          <w:rFonts w:hint="eastAsia" w:cs="宋体"/>
          <w:color w:val="000000"/>
          <w:sz w:val="24"/>
          <w:szCs w:val="24"/>
          <w:lang w:val="en-US" w:eastAsia="zh-CN" w:bidi="ar"/>
        </w:rPr>
        <w:t>新文科和</w:t>
      </w:r>
      <w:r>
        <w:rPr>
          <w:rFonts w:hint="eastAsia" w:ascii="宋体" w:hAnsi="宋体" w:eastAsia="宋体" w:cs="宋体"/>
          <w:color w:val="000000"/>
          <w:sz w:val="24"/>
          <w:szCs w:val="24"/>
          <w:lang w:val="en-US" w:eastAsia="zh-CN" w:bidi="ar"/>
        </w:rPr>
        <w:t>新农科交叉融合，深化科产教协同育人，</w:t>
      </w:r>
      <w:r>
        <w:rPr>
          <w:rFonts w:hint="eastAsia" w:ascii="宋体" w:hAnsi="宋体" w:eastAsia="宋体" w:cs="宋体"/>
          <w:sz w:val="24"/>
          <w:szCs w:val="24"/>
          <w:lang w:val="en-US" w:eastAsia="zh-CN"/>
        </w:rPr>
        <w:t>提升大学生就业竞争力，助力毕业生实现高质量充分就业</w:t>
      </w:r>
      <w:r>
        <w:rPr>
          <w:rFonts w:hint="eastAsia" w:cs="宋体"/>
          <w:sz w:val="24"/>
          <w:szCs w:val="24"/>
          <w:lang w:eastAsia="zh-CN"/>
        </w:rPr>
        <w:t>，</w:t>
      </w:r>
      <w:r>
        <w:rPr>
          <w:rFonts w:hint="eastAsia" w:ascii="宋体" w:hAnsi="宋体" w:eastAsia="宋体" w:cs="宋体"/>
          <w:sz w:val="24"/>
          <w:szCs w:val="24"/>
          <w:lang w:val="en-US" w:eastAsia="zh-CN"/>
        </w:rPr>
        <w:t>外国语学院</w:t>
      </w:r>
      <w:r>
        <w:rPr>
          <w:rFonts w:hint="eastAsia" w:cs="宋体"/>
          <w:sz w:val="24"/>
          <w:szCs w:val="24"/>
          <w:lang w:val="en-US" w:eastAsia="zh-CN"/>
        </w:rPr>
        <w:t>日语系</w:t>
      </w:r>
      <w:r>
        <w:rPr>
          <w:rFonts w:hint="eastAsia" w:ascii="宋体" w:hAnsi="宋体" w:eastAsia="宋体" w:cs="宋体"/>
          <w:sz w:val="24"/>
          <w:szCs w:val="24"/>
          <w:lang w:val="en-US" w:eastAsia="zh-CN"/>
        </w:rPr>
        <w:t>特开设“涉外商贸与知识产权”微专业。本微专业由</w:t>
      </w:r>
      <w:r>
        <w:rPr>
          <w:rFonts w:hint="eastAsia" w:cs="宋体"/>
          <w:sz w:val="24"/>
          <w:szCs w:val="24"/>
          <w:lang w:val="en-US" w:eastAsia="zh-CN"/>
        </w:rPr>
        <w:t>外国语学院</w:t>
      </w:r>
      <w:r>
        <w:rPr>
          <w:rFonts w:hint="eastAsia" w:ascii="宋体" w:hAnsi="宋体" w:eastAsia="宋体" w:cs="宋体"/>
          <w:sz w:val="24"/>
          <w:szCs w:val="24"/>
        </w:rPr>
        <w:t>牵头，携手人文与法学学院和广东诺品律师事务所共同申报的校企共建协同育人型微专业</w:t>
      </w:r>
      <w:r>
        <w:rPr>
          <w:rFonts w:hint="eastAsia" w:cs="宋体"/>
          <w:sz w:val="24"/>
          <w:szCs w:val="24"/>
          <w:lang w:eastAsia="zh-CN"/>
        </w:rPr>
        <w:t>。</w:t>
      </w:r>
      <w:r>
        <w:rPr>
          <w:rFonts w:hint="eastAsia" w:ascii="宋体" w:hAnsi="宋体" w:eastAsia="宋体" w:cs="宋体"/>
          <w:sz w:val="24"/>
          <w:szCs w:val="24"/>
          <w:lang w:val="en-US" w:eastAsia="zh-CN"/>
        </w:rPr>
        <w:t>将外语与法学、经济学、农学等学科交叉融合，</w:t>
      </w:r>
      <w:r>
        <w:rPr>
          <w:rFonts w:hint="eastAsia" w:cs="宋体"/>
          <w:sz w:val="24"/>
          <w:szCs w:val="24"/>
          <w:lang w:val="en-US" w:eastAsia="zh-CN"/>
        </w:rPr>
        <w:t>旨在</w:t>
      </w:r>
      <w:r>
        <w:rPr>
          <w:rFonts w:hint="eastAsia" w:ascii="宋体" w:hAnsi="宋体" w:eastAsia="宋体" w:cs="宋体"/>
          <w:sz w:val="24"/>
          <w:szCs w:val="24"/>
          <w:lang w:val="en-US" w:eastAsia="zh-CN"/>
        </w:rPr>
        <w:t>实现跨学科和跨专业培养具备</w:t>
      </w:r>
      <w:r>
        <w:rPr>
          <w:rFonts w:hint="eastAsia" w:ascii="宋体" w:hAnsi="宋体" w:eastAsia="宋体" w:cs="宋体"/>
          <w:sz w:val="24"/>
          <w:szCs w:val="24"/>
        </w:rPr>
        <w:t>国际贸易实务与谈判策略、中国和主要发达国家知识产权等知识</w:t>
      </w:r>
      <w:r>
        <w:rPr>
          <w:rFonts w:hint="eastAsia" w:ascii="宋体" w:hAnsi="宋体" w:eastAsia="宋体" w:cs="宋体"/>
          <w:sz w:val="24"/>
          <w:szCs w:val="24"/>
          <w:lang w:val="en-US" w:eastAsia="zh-CN"/>
        </w:rPr>
        <w:t>结构</w:t>
      </w:r>
      <w:r>
        <w:rPr>
          <w:rFonts w:hint="eastAsia" w:ascii="宋体" w:hAnsi="宋体" w:eastAsia="宋体" w:cs="宋体"/>
          <w:sz w:val="24"/>
          <w:szCs w:val="24"/>
        </w:rPr>
        <w:t>和实务技能</w:t>
      </w:r>
      <w:r>
        <w:rPr>
          <w:rFonts w:hint="eastAsia" w:ascii="宋体" w:hAnsi="宋体" w:eastAsia="宋体" w:cs="宋体"/>
          <w:sz w:val="24"/>
          <w:szCs w:val="24"/>
          <w:lang w:val="en-US" w:eastAsia="zh-CN"/>
        </w:rPr>
        <w:t>的，能</w:t>
      </w:r>
      <w:r>
        <w:rPr>
          <w:rFonts w:hint="eastAsia" w:ascii="宋体" w:hAnsi="宋体" w:eastAsia="宋体" w:cs="宋体"/>
          <w:sz w:val="24"/>
          <w:szCs w:val="24"/>
          <w:lang w:eastAsia="zh-CN"/>
        </w:rPr>
        <w:t>在涉外法治服务、国际贸易、</w:t>
      </w:r>
      <w:r>
        <w:rPr>
          <w:rFonts w:hint="eastAsia" w:ascii="宋体" w:hAnsi="宋体" w:eastAsia="宋体" w:cs="宋体"/>
          <w:sz w:val="24"/>
          <w:szCs w:val="24"/>
          <w:lang w:val="en-US" w:eastAsia="zh-CN"/>
        </w:rPr>
        <w:t>跨境电商、</w:t>
      </w:r>
      <w:r>
        <w:rPr>
          <w:rFonts w:hint="eastAsia" w:ascii="宋体" w:hAnsi="宋体" w:eastAsia="宋体" w:cs="宋体"/>
          <w:sz w:val="24"/>
          <w:szCs w:val="24"/>
          <w:lang w:eastAsia="zh-CN"/>
        </w:rPr>
        <w:t>知识产权服务、</w:t>
      </w:r>
      <w:r>
        <w:rPr>
          <w:rFonts w:hint="eastAsia" w:ascii="宋体" w:hAnsi="宋体" w:eastAsia="宋体" w:cs="宋体"/>
          <w:sz w:val="24"/>
          <w:szCs w:val="24"/>
          <w:lang w:val="en-US" w:eastAsia="zh-CN"/>
        </w:rPr>
        <w:t>国际</w:t>
      </w:r>
      <w:r>
        <w:rPr>
          <w:rFonts w:hint="eastAsia" w:ascii="宋体" w:hAnsi="宋体" w:eastAsia="宋体" w:cs="宋体"/>
          <w:sz w:val="24"/>
          <w:szCs w:val="24"/>
          <w:lang w:eastAsia="zh-CN"/>
        </w:rPr>
        <w:t>交流与合作等领域</w:t>
      </w:r>
      <w:r>
        <w:rPr>
          <w:rFonts w:hint="eastAsia" w:ascii="宋体" w:hAnsi="宋体" w:eastAsia="宋体" w:cs="宋体"/>
          <w:sz w:val="24"/>
          <w:szCs w:val="24"/>
          <w:lang w:val="en-US" w:eastAsia="zh-CN"/>
        </w:rPr>
        <w:t>或国际组织机构中</w:t>
      </w:r>
      <w:r>
        <w:rPr>
          <w:rFonts w:hint="eastAsia" w:ascii="宋体" w:hAnsi="宋体" w:eastAsia="宋体" w:cs="宋体"/>
          <w:sz w:val="24"/>
          <w:szCs w:val="24"/>
          <w:lang w:eastAsia="zh-CN"/>
        </w:rPr>
        <w:t>，胜任翻译、</w:t>
      </w:r>
      <w:r>
        <w:rPr>
          <w:rFonts w:hint="eastAsia" w:ascii="宋体" w:hAnsi="宋体" w:eastAsia="宋体" w:cs="宋体"/>
          <w:sz w:val="24"/>
          <w:szCs w:val="24"/>
          <w:lang w:val="en-US" w:eastAsia="zh-CN"/>
        </w:rPr>
        <w:t>外事、</w:t>
      </w:r>
      <w:r>
        <w:rPr>
          <w:rFonts w:hint="eastAsia" w:ascii="宋体" w:hAnsi="宋体" w:eastAsia="宋体" w:cs="宋体"/>
          <w:sz w:val="24"/>
          <w:szCs w:val="24"/>
          <w:lang w:eastAsia="zh-CN"/>
        </w:rPr>
        <w:t>知识产权事务管理</w:t>
      </w:r>
      <w:r>
        <w:rPr>
          <w:rFonts w:hint="eastAsia" w:ascii="宋体" w:hAnsi="宋体" w:eastAsia="宋体" w:cs="宋体"/>
          <w:sz w:val="24"/>
          <w:szCs w:val="24"/>
          <w:lang w:val="en-US" w:eastAsia="zh-CN"/>
        </w:rPr>
        <w:t>和涉外业务、国际经贸等工作的</w:t>
      </w:r>
      <w:r>
        <w:rPr>
          <w:rFonts w:hint="eastAsia" w:ascii="宋体" w:hAnsi="宋体" w:eastAsia="宋体" w:cs="宋体"/>
          <w:sz w:val="24"/>
          <w:szCs w:val="24"/>
        </w:rPr>
        <w:t>复合应用型涉外人才</w:t>
      </w:r>
      <w:r>
        <w:rPr>
          <w:rFonts w:hint="eastAsia" w:ascii="宋体" w:hAnsi="宋体" w:eastAsia="宋体" w:cs="宋体"/>
          <w:sz w:val="24"/>
          <w:szCs w:val="24"/>
          <w:lang w:eastAsia="zh-CN"/>
        </w:rPr>
        <w:t>。</w:t>
      </w:r>
    </w:p>
    <w:p w14:paraId="7898655D">
      <w:pPr>
        <w:pStyle w:val="9"/>
        <w:widowControl/>
        <w:shd w:val="clear" w:color="auto" w:fill="FFFFFF"/>
        <w:spacing w:before="156" w:beforeLines="50" w:beforeAutospacing="0" w:after="156" w:afterLines="50" w:afterAutospacing="0" w:line="360" w:lineRule="auto"/>
        <w:ind w:firstLine="562" w:firstLineChars="200"/>
        <w:rPr>
          <w:rStyle w:val="14"/>
          <w:rFonts w:hint="default" w:eastAsia="宋体" w:asciiTheme="minorEastAsia" w:hAnsiTheme="minorEastAsia" w:cstheme="minorEastAsia"/>
          <w:color w:val="000000"/>
          <w:sz w:val="28"/>
          <w:szCs w:val="28"/>
          <w:shd w:val="clear" w:color="auto" w:fill="FFFFFF"/>
          <w:lang w:val="en-US" w:eastAsia="zh-CN"/>
        </w:rPr>
      </w:pPr>
      <w:r>
        <w:rPr>
          <w:rStyle w:val="14"/>
          <w:rFonts w:hint="eastAsia" w:asciiTheme="minorEastAsia" w:hAnsiTheme="minorEastAsia" w:cstheme="minorEastAsia"/>
          <w:color w:val="000000"/>
          <w:sz w:val="28"/>
          <w:szCs w:val="28"/>
          <w:shd w:val="clear" w:color="auto" w:fill="FFFFFF"/>
          <w:lang w:val="en-US" w:eastAsia="zh-CN"/>
        </w:rPr>
        <w:t>二</w:t>
      </w:r>
      <w:r>
        <w:rPr>
          <w:rStyle w:val="14"/>
          <w:rFonts w:hint="eastAsia" w:eastAsia="宋体" w:asciiTheme="minorEastAsia" w:hAnsiTheme="minorEastAsia" w:cstheme="minorEastAsia"/>
          <w:color w:val="000000"/>
          <w:sz w:val="28"/>
          <w:szCs w:val="28"/>
          <w:shd w:val="clear" w:color="auto" w:fill="FFFFFF"/>
        </w:rPr>
        <w:t>、</w:t>
      </w:r>
      <w:r>
        <w:rPr>
          <w:rStyle w:val="14"/>
          <w:rFonts w:hint="eastAsia" w:asciiTheme="minorEastAsia" w:hAnsiTheme="minorEastAsia" w:cstheme="minorEastAsia"/>
          <w:color w:val="000000"/>
          <w:sz w:val="28"/>
          <w:szCs w:val="28"/>
          <w:shd w:val="clear" w:color="auto" w:fill="FFFFFF"/>
          <w:lang w:val="en-US" w:eastAsia="zh-CN"/>
        </w:rPr>
        <w:t>招生计划及要求</w:t>
      </w:r>
    </w:p>
    <w:p w14:paraId="334D1943">
      <w:pPr>
        <w:spacing w:line="360" w:lineRule="auto"/>
        <w:ind w:firstLine="480" w:firstLineChars="200"/>
        <w:rPr>
          <w:rFonts w:hint="eastAsia" w:ascii="宋体" w:hAnsi="宋体" w:eastAsia="宋体" w:cs="宋体"/>
          <w:sz w:val="24"/>
          <w:szCs w:val="24"/>
          <w:lang w:val="en-US" w:eastAsia="zh-CN"/>
        </w:rPr>
      </w:pPr>
      <w:r>
        <w:rPr>
          <w:rFonts w:hint="eastAsia" w:cs="宋体"/>
          <w:sz w:val="24"/>
          <w:szCs w:val="24"/>
          <w:lang w:val="en-US" w:eastAsia="zh-CN"/>
        </w:rPr>
        <w:t>本</w:t>
      </w:r>
      <w:r>
        <w:rPr>
          <w:rFonts w:hint="eastAsia" w:ascii="宋体" w:hAnsi="宋体" w:eastAsia="宋体" w:cs="宋体"/>
          <w:sz w:val="24"/>
          <w:szCs w:val="24"/>
          <w:lang w:val="en-US" w:eastAsia="zh-CN"/>
        </w:rPr>
        <w:t>微专业面向我校全日制在校本科学生招生，具体要求如下：</w:t>
      </w:r>
    </w:p>
    <w:p w14:paraId="6D7DA75A">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 招生对象：学有余力的学生</w:t>
      </w:r>
      <w:r>
        <w:rPr>
          <w:rFonts w:hint="eastAsia" w:cs="宋体"/>
          <w:sz w:val="24"/>
          <w:szCs w:val="24"/>
          <w:lang w:val="en-US" w:eastAsia="zh-CN"/>
        </w:rPr>
        <w:t>。无先修课程要求</w:t>
      </w:r>
      <w:r>
        <w:rPr>
          <w:rFonts w:hint="eastAsia" w:ascii="宋体" w:hAnsi="宋体" w:eastAsia="宋体" w:cs="宋体"/>
          <w:sz w:val="24"/>
          <w:szCs w:val="24"/>
          <w:lang w:val="en-US" w:eastAsia="zh-CN"/>
        </w:rPr>
        <w:t>。</w:t>
      </w:r>
    </w:p>
    <w:p w14:paraId="1631271C">
      <w:pPr>
        <w:spacing w:line="360" w:lineRule="auto"/>
        <w:ind w:firstLine="480" w:firstLineChars="200"/>
        <w:rPr>
          <w:rFonts w:hint="default" w:ascii="宋体" w:hAnsi="宋体" w:eastAsia="宋体" w:cs="宋体"/>
          <w:color w:val="C00000"/>
          <w:sz w:val="24"/>
          <w:szCs w:val="24"/>
          <w:lang w:val="en-US" w:eastAsia="zh-CN"/>
        </w:rPr>
      </w:pPr>
      <w:r>
        <w:rPr>
          <w:rFonts w:hint="eastAsia" w:ascii="宋体" w:hAnsi="宋体" w:eastAsia="宋体" w:cs="宋体"/>
          <w:sz w:val="24"/>
          <w:szCs w:val="24"/>
          <w:lang w:val="en-US" w:eastAsia="zh-CN"/>
        </w:rPr>
        <w:t>2. 招生规模：</w:t>
      </w:r>
      <w:r>
        <w:rPr>
          <w:rFonts w:hint="eastAsia" w:cs="宋体"/>
          <w:sz w:val="24"/>
          <w:szCs w:val="24"/>
          <w:lang w:val="en-US" w:eastAsia="zh-CN"/>
        </w:rPr>
        <w:t>30人。</w:t>
      </w:r>
    </w:p>
    <w:p w14:paraId="759DD65A">
      <w:pPr>
        <w:spacing w:line="360" w:lineRule="auto"/>
        <w:ind w:left="476" w:leftChars="170" w:firstLine="0" w:firstLineChars="0"/>
        <w:rPr>
          <w:rFonts w:hint="eastAsia" w:cs="宋体"/>
          <w:color w:val="auto"/>
          <w:sz w:val="24"/>
          <w:szCs w:val="24"/>
          <w:lang w:val="en-US" w:eastAsia="zh-CN"/>
        </w:rPr>
      </w:pPr>
      <w:r>
        <w:rPr>
          <w:rFonts w:hint="eastAsia" w:ascii="宋体" w:hAnsi="宋体" w:eastAsia="宋体" w:cs="宋体"/>
          <w:sz w:val="24"/>
          <w:szCs w:val="24"/>
          <w:lang w:val="en-US" w:eastAsia="zh-CN"/>
        </w:rPr>
        <w:t>3. 招生要求：</w:t>
      </w:r>
      <w:r>
        <w:rPr>
          <w:rFonts w:hint="eastAsia" w:cs="宋体"/>
          <w:sz w:val="24"/>
          <w:szCs w:val="24"/>
          <w:lang w:val="en-US" w:eastAsia="zh-CN"/>
        </w:rPr>
        <w:t>报名时</w:t>
      </w:r>
      <w:r>
        <w:rPr>
          <w:rFonts w:hint="eastAsia" w:cs="宋体"/>
          <w:color w:val="auto"/>
          <w:sz w:val="24"/>
          <w:szCs w:val="24"/>
          <w:lang w:val="en-US" w:eastAsia="zh-CN"/>
        </w:rPr>
        <w:t>无挂科（过去曾挂科，报名时已通过考试也可报名）。</w:t>
      </w:r>
    </w:p>
    <w:p w14:paraId="221F959E">
      <w:pPr>
        <w:spacing w:line="360" w:lineRule="auto"/>
        <w:ind w:left="476" w:leftChars="17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对</w:t>
      </w:r>
      <w:r>
        <w:rPr>
          <w:rFonts w:hint="eastAsia" w:cs="宋体"/>
          <w:color w:val="auto"/>
          <w:sz w:val="24"/>
          <w:szCs w:val="24"/>
          <w:lang w:val="en-US" w:eastAsia="zh-CN"/>
        </w:rPr>
        <w:t>涉外商贸和中国及欧美、日本等主要发达国家知识产权</w:t>
      </w:r>
      <w:r>
        <w:rPr>
          <w:rFonts w:hint="eastAsia" w:ascii="宋体" w:hAnsi="宋体" w:eastAsia="宋体" w:cs="宋体"/>
          <w:color w:val="auto"/>
          <w:sz w:val="24"/>
          <w:szCs w:val="24"/>
          <w:lang w:val="en-US" w:eastAsia="zh-CN"/>
        </w:rPr>
        <w:t>领域有兴趣</w:t>
      </w:r>
      <w:r>
        <w:rPr>
          <w:rFonts w:hint="eastAsia" w:cs="宋体"/>
          <w:sz w:val="24"/>
          <w:szCs w:val="24"/>
          <w:lang w:val="en-US" w:eastAsia="zh-CN"/>
        </w:rPr>
        <w:t>。此外，无英语基础的同学不建议报名。</w:t>
      </w:r>
    </w:p>
    <w:p w14:paraId="6BEC50B5">
      <w:pPr>
        <w:pStyle w:val="9"/>
        <w:widowControl/>
        <w:shd w:val="clear" w:color="auto" w:fill="FFFFFF"/>
        <w:spacing w:before="156" w:beforeLines="50" w:beforeAutospacing="0" w:after="156" w:afterLines="50" w:afterAutospacing="0" w:line="360" w:lineRule="auto"/>
        <w:ind w:firstLine="562" w:firstLineChars="200"/>
        <w:rPr>
          <w:rStyle w:val="14"/>
          <w:rFonts w:hint="eastAsia" w:eastAsia="宋体" w:asciiTheme="minorEastAsia" w:hAnsiTheme="minorEastAsia" w:cstheme="minorEastAsia"/>
          <w:color w:val="000000"/>
          <w:sz w:val="28"/>
          <w:szCs w:val="28"/>
          <w:shd w:val="clear" w:color="auto" w:fill="FFFFFF"/>
        </w:rPr>
      </w:pPr>
      <w:r>
        <w:rPr>
          <w:rStyle w:val="14"/>
          <w:rFonts w:hint="eastAsia" w:eastAsia="宋体" w:asciiTheme="minorEastAsia" w:hAnsiTheme="minorEastAsia" w:cstheme="minorEastAsia"/>
          <w:color w:val="000000"/>
          <w:sz w:val="28"/>
          <w:szCs w:val="28"/>
          <w:shd w:val="clear" w:color="auto" w:fill="FFFFFF"/>
        </w:rPr>
        <w:t>三、报名与课程要求</w:t>
      </w:r>
    </w:p>
    <w:p w14:paraId="2EF0282B">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学生在第二学期或第四学期提出修读申请，每个学生限报1个微专业。微专业单独编班授课，原则上</w:t>
      </w:r>
      <w:r>
        <w:rPr>
          <w:rFonts w:hint="eastAsia" w:cs="宋体"/>
          <w:color w:val="000000"/>
          <w:sz w:val="24"/>
          <w:szCs w:val="24"/>
          <w:shd w:val="clear" w:color="auto" w:fill="FFFFFF"/>
          <w:lang w:val="en-US" w:eastAsia="zh-CN"/>
        </w:rPr>
        <w:t>30</w:t>
      </w:r>
      <w:r>
        <w:rPr>
          <w:rFonts w:hint="eastAsia" w:ascii="宋体" w:hAnsi="宋体" w:eastAsia="宋体" w:cs="宋体"/>
          <w:color w:val="000000"/>
          <w:sz w:val="24"/>
          <w:szCs w:val="24"/>
          <w:shd w:val="clear" w:color="auto" w:fill="FFFFFF"/>
        </w:rPr>
        <w:t>人以上方可开班。</w:t>
      </w:r>
      <w:bookmarkStart w:id="0" w:name="_GoBack"/>
      <w:bookmarkEnd w:id="0"/>
    </w:p>
    <w:p w14:paraId="1112A52D">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微专业教学安排在教学周空闲时段或周末授课。课程要求按《华南农业大学微专业建设管理办法（试行）（华南农办〔2024〕36号）》执行。</w:t>
      </w:r>
    </w:p>
    <w:p w14:paraId="154EC525">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微专业课程成绩评定按《华南农业大学本科课程考核管理规定》执行。学生微专业课程考核成绩纳入学校教务管理平台；微专业课程不能申请免修或免听；微专业成绩单单列，不纳入学生综合测评。</w:t>
      </w:r>
    </w:p>
    <w:p w14:paraId="4CAF6C3D">
      <w:pPr>
        <w:pStyle w:val="9"/>
        <w:widowControl/>
        <w:shd w:val="clear" w:color="auto" w:fill="FFFFFF"/>
        <w:spacing w:before="156" w:beforeLines="50" w:beforeAutospacing="0" w:after="156" w:afterLines="50" w:afterAutospacing="0" w:line="360" w:lineRule="auto"/>
        <w:ind w:firstLine="562" w:firstLineChars="200"/>
        <w:rPr>
          <w:rStyle w:val="14"/>
          <w:rFonts w:hint="eastAsia" w:eastAsia="宋体" w:asciiTheme="minorEastAsia" w:hAnsiTheme="minorEastAsia" w:cstheme="minorEastAsia"/>
          <w:color w:val="000000"/>
          <w:sz w:val="28"/>
          <w:szCs w:val="28"/>
          <w:shd w:val="clear" w:color="auto" w:fill="FFFFFF"/>
        </w:rPr>
      </w:pPr>
      <w:r>
        <w:rPr>
          <w:rStyle w:val="14"/>
          <w:rFonts w:hint="eastAsia" w:eastAsia="宋体" w:asciiTheme="minorEastAsia" w:hAnsiTheme="minorEastAsia" w:cstheme="minorEastAsia"/>
          <w:color w:val="000000"/>
          <w:sz w:val="28"/>
          <w:szCs w:val="28"/>
          <w:shd w:val="clear" w:color="auto" w:fill="FFFFFF"/>
          <w:lang w:val="en-US" w:eastAsia="zh-CN"/>
        </w:rPr>
        <w:t>四</w:t>
      </w:r>
      <w:r>
        <w:rPr>
          <w:rStyle w:val="14"/>
          <w:rFonts w:hint="eastAsia" w:eastAsia="宋体" w:asciiTheme="minorEastAsia" w:hAnsiTheme="minorEastAsia" w:cstheme="minorEastAsia"/>
          <w:color w:val="000000"/>
          <w:sz w:val="28"/>
          <w:szCs w:val="28"/>
          <w:shd w:val="clear" w:color="auto" w:fill="FFFFFF"/>
        </w:rPr>
        <w:t>、开设课程及授课时间</w:t>
      </w:r>
    </w:p>
    <w:p w14:paraId="6D5EBD27">
      <w:pPr>
        <w:numPr>
          <w:ilvl w:val="0"/>
          <w:numId w:val="0"/>
        </w:numPr>
        <w:spacing w:line="360" w:lineRule="auto"/>
        <w:rPr>
          <w:rFonts w:hint="eastAsia" w:cs="宋体"/>
          <w:b w:val="0"/>
          <w:bCs w:val="0"/>
          <w:sz w:val="24"/>
          <w:szCs w:val="24"/>
          <w:lang w:val="en-US" w:eastAsia="zh-CN"/>
        </w:rPr>
      </w:pPr>
      <w:r>
        <w:rPr>
          <w:rFonts w:hint="eastAsia" w:cs="宋体"/>
          <w:b/>
          <w:bCs/>
          <w:sz w:val="24"/>
          <w:szCs w:val="24"/>
          <w:lang w:val="en-US" w:eastAsia="zh-CN"/>
        </w:rPr>
        <w:t xml:space="preserve">     </w:t>
      </w:r>
      <w:r>
        <w:rPr>
          <w:rFonts w:hint="eastAsia" w:cs="宋体"/>
          <w:b w:val="0"/>
          <w:bCs w:val="0"/>
          <w:sz w:val="24"/>
          <w:szCs w:val="24"/>
          <w:lang w:val="en-US" w:eastAsia="zh-CN"/>
        </w:rPr>
        <w:t>开设6门课程，共12学分。</w:t>
      </w:r>
    </w:p>
    <w:tbl>
      <w:tblPr>
        <w:tblStyle w:val="11"/>
        <w:tblW w:w="4968" w:type="pct"/>
        <w:jc w:val="center"/>
        <w:tblCellSpacing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1285"/>
        <w:gridCol w:w="2280"/>
        <w:gridCol w:w="600"/>
        <w:gridCol w:w="608"/>
        <w:gridCol w:w="577"/>
        <w:gridCol w:w="572"/>
        <w:gridCol w:w="1229"/>
        <w:gridCol w:w="1132"/>
      </w:tblGrid>
      <w:tr w14:paraId="4576E73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85" w:hRule="atLeast"/>
          <w:tblCellSpacing w:w="0" w:type="dxa"/>
          <w:jc w:val="center"/>
        </w:trPr>
        <w:tc>
          <w:tcPr>
            <w:tcW w:w="775" w:type="pct"/>
            <w:vMerge w:val="restart"/>
            <w:shd w:val="clear" w:color="auto" w:fill="auto"/>
            <w:vAlign w:val="center"/>
          </w:tcPr>
          <w:p w14:paraId="121BC827">
            <w:pPr>
              <w:pStyle w:val="9"/>
              <w:widowControl/>
              <w:spacing w:beforeAutospacing="0" w:afterAutospacing="0" w:line="360" w:lineRule="auto"/>
              <w:ind w:firstLine="241" w:firstLineChars="100"/>
              <w:jc w:val="center"/>
              <w:rPr>
                <w:rFonts w:hint="eastAsia" w:ascii="宋体" w:hAnsi="宋体" w:eastAsia="宋体" w:cs="宋体"/>
                <w:sz w:val="24"/>
                <w:szCs w:val="24"/>
              </w:rPr>
            </w:pPr>
            <w:r>
              <w:rPr>
                <w:rStyle w:val="14"/>
                <w:rFonts w:hint="eastAsia" w:ascii="宋体" w:hAnsi="宋体" w:eastAsia="宋体" w:cs="宋体"/>
                <w:sz w:val="24"/>
                <w:szCs w:val="24"/>
              </w:rPr>
              <w:t>课程代码</w:t>
            </w:r>
          </w:p>
        </w:tc>
        <w:tc>
          <w:tcPr>
            <w:tcW w:w="1375" w:type="pct"/>
            <w:vMerge w:val="restart"/>
            <w:shd w:val="clear" w:color="auto" w:fill="auto"/>
            <w:vAlign w:val="center"/>
          </w:tcPr>
          <w:p w14:paraId="14EA62C7">
            <w:pPr>
              <w:pStyle w:val="9"/>
              <w:widowControl/>
              <w:spacing w:beforeAutospacing="0" w:afterAutospacing="0" w:line="360" w:lineRule="auto"/>
              <w:ind w:firstLine="482" w:firstLineChars="200"/>
              <w:rPr>
                <w:rFonts w:hint="eastAsia" w:ascii="宋体" w:hAnsi="宋体" w:eastAsia="宋体" w:cs="宋体"/>
                <w:sz w:val="24"/>
                <w:szCs w:val="24"/>
              </w:rPr>
            </w:pPr>
            <w:r>
              <w:rPr>
                <w:rStyle w:val="14"/>
                <w:rFonts w:hint="eastAsia" w:ascii="宋体" w:hAnsi="宋体" w:eastAsia="宋体" w:cs="宋体"/>
                <w:sz w:val="24"/>
                <w:szCs w:val="24"/>
              </w:rPr>
              <w:t>课程名称</w:t>
            </w:r>
          </w:p>
        </w:tc>
        <w:tc>
          <w:tcPr>
            <w:tcW w:w="362" w:type="pct"/>
            <w:vMerge w:val="restart"/>
            <w:shd w:val="clear" w:color="auto" w:fill="auto"/>
            <w:vAlign w:val="center"/>
          </w:tcPr>
          <w:p w14:paraId="156F9C86">
            <w:pPr>
              <w:pStyle w:val="9"/>
              <w:widowControl/>
              <w:spacing w:beforeAutospacing="0" w:afterAutospacing="0" w:line="360" w:lineRule="auto"/>
              <w:jc w:val="center"/>
              <w:rPr>
                <w:rFonts w:hint="eastAsia" w:ascii="宋体" w:hAnsi="宋体" w:eastAsia="宋体" w:cs="宋体"/>
                <w:sz w:val="24"/>
                <w:szCs w:val="24"/>
              </w:rPr>
            </w:pPr>
            <w:r>
              <w:rPr>
                <w:rStyle w:val="14"/>
                <w:rFonts w:hint="eastAsia" w:ascii="宋体" w:hAnsi="宋体" w:eastAsia="宋体" w:cs="宋体"/>
                <w:sz w:val="24"/>
                <w:szCs w:val="24"/>
              </w:rPr>
              <w:t>学分</w:t>
            </w:r>
          </w:p>
        </w:tc>
        <w:tc>
          <w:tcPr>
            <w:tcW w:w="367" w:type="pct"/>
            <w:vMerge w:val="restart"/>
            <w:shd w:val="clear" w:color="auto" w:fill="auto"/>
            <w:vAlign w:val="center"/>
          </w:tcPr>
          <w:p w14:paraId="65392820">
            <w:pPr>
              <w:pStyle w:val="9"/>
              <w:widowControl/>
              <w:spacing w:beforeAutospacing="0" w:afterAutospacing="0" w:line="360" w:lineRule="auto"/>
              <w:jc w:val="center"/>
              <w:rPr>
                <w:rFonts w:hint="eastAsia" w:ascii="宋体" w:hAnsi="宋体" w:eastAsia="宋体" w:cs="宋体"/>
                <w:sz w:val="24"/>
                <w:szCs w:val="24"/>
              </w:rPr>
            </w:pPr>
            <w:r>
              <w:rPr>
                <w:rStyle w:val="14"/>
                <w:rFonts w:hint="eastAsia" w:ascii="宋体" w:hAnsi="宋体" w:eastAsia="宋体" w:cs="宋体"/>
                <w:sz w:val="24"/>
                <w:szCs w:val="24"/>
              </w:rPr>
              <w:t>学时</w:t>
            </w:r>
          </w:p>
        </w:tc>
        <w:tc>
          <w:tcPr>
            <w:tcW w:w="693" w:type="pct"/>
            <w:gridSpan w:val="2"/>
            <w:shd w:val="clear" w:color="auto" w:fill="auto"/>
            <w:vAlign w:val="center"/>
          </w:tcPr>
          <w:p w14:paraId="1E811FCF">
            <w:pPr>
              <w:pStyle w:val="9"/>
              <w:widowControl/>
              <w:spacing w:beforeAutospacing="0" w:afterAutospacing="0" w:line="360" w:lineRule="auto"/>
              <w:jc w:val="center"/>
              <w:rPr>
                <w:rFonts w:hint="eastAsia" w:ascii="宋体" w:hAnsi="宋体" w:eastAsia="宋体" w:cs="宋体"/>
                <w:sz w:val="24"/>
                <w:szCs w:val="24"/>
              </w:rPr>
            </w:pPr>
            <w:r>
              <w:rPr>
                <w:rStyle w:val="14"/>
                <w:rFonts w:hint="eastAsia" w:ascii="宋体" w:hAnsi="宋体" w:eastAsia="宋体" w:cs="宋体"/>
                <w:sz w:val="24"/>
                <w:szCs w:val="24"/>
              </w:rPr>
              <w:t>学时分配</w:t>
            </w:r>
          </w:p>
        </w:tc>
        <w:tc>
          <w:tcPr>
            <w:tcW w:w="741" w:type="pct"/>
            <w:vMerge w:val="restart"/>
            <w:shd w:val="clear" w:color="auto" w:fill="auto"/>
            <w:vAlign w:val="center"/>
          </w:tcPr>
          <w:p w14:paraId="186DE3CE">
            <w:pPr>
              <w:pStyle w:val="9"/>
              <w:widowControl/>
              <w:spacing w:beforeAutospacing="0" w:afterAutospacing="0" w:line="360" w:lineRule="auto"/>
              <w:jc w:val="center"/>
              <w:rPr>
                <w:rFonts w:hint="eastAsia" w:ascii="宋体" w:hAnsi="宋体" w:eastAsia="宋体" w:cs="宋体"/>
                <w:sz w:val="24"/>
                <w:szCs w:val="24"/>
              </w:rPr>
            </w:pPr>
            <w:r>
              <w:rPr>
                <w:rStyle w:val="14"/>
                <w:rFonts w:hint="eastAsia" w:ascii="宋体" w:hAnsi="宋体" w:eastAsia="宋体" w:cs="宋体"/>
                <w:sz w:val="24"/>
                <w:szCs w:val="24"/>
              </w:rPr>
              <w:t>开课学期</w:t>
            </w:r>
          </w:p>
        </w:tc>
        <w:tc>
          <w:tcPr>
            <w:tcW w:w="683" w:type="pct"/>
            <w:vMerge w:val="restart"/>
            <w:shd w:val="clear" w:color="auto" w:fill="auto"/>
            <w:vAlign w:val="center"/>
          </w:tcPr>
          <w:p w14:paraId="7E6C6C61">
            <w:pPr>
              <w:pStyle w:val="9"/>
              <w:widowControl/>
              <w:spacing w:beforeAutospacing="0" w:afterAutospacing="0" w:line="360" w:lineRule="auto"/>
              <w:jc w:val="center"/>
              <w:rPr>
                <w:rFonts w:hint="eastAsia" w:ascii="宋体" w:hAnsi="宋体" w:eastAsia="宋体" w:cs="宋体"/>
                <w:sz w:val="24"/>
                <w:szCs w:val="24"/>
              </w:rPr>
            </w:pPr>
            <w:r>
              <w:rPr>
                <w:rStyle w:val="14"/>
                <w:rFonts w:hint="eastAsia" w:ascii="宋体" w:hAnsi="宋体" w:eastAsia="宋体" w:cs="宋体"/>
                <w:sz w:val="24"/>
                <w:szCs w:val="24"/>
              </w:rPr>
              <w:t>考核方式</w:t>
            </w:r>
          </w:p>
        </w:tc>
      </w:tr>
      <w:tr w14:paraId="46237C3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391" w:hRule="atLeast"/>
          <w:tblCellSpacing w:w="0" w:type="dxa"/>
          <w:jc w:val="center"/>
        </w:trPr>
        <w:tc>
          <w:tcPr>
            <w:tcW w:w="775" w:type="pct"/>
            <w:vMerge w:val="continue"/>
            <w:shd w:val="clear" w:color="auto" w:fill="auto"/>
            <w:vAlign w:val="center"/>
          </w:tcPr>
          <w:p w14:paraId="5B2DE840">
            <w:pPr>
              <w:spacing w:line="360" w:lineRule="auto"/>
              <w:jc w:val="center"/>
              <w:rPr>
                <w:rFonts w:hint="eastAsia" w:ascii="宋体" w:hAnsi="宋体" w:eastAsia="宋体" w:cs="宋体"/>
                <w:sz w:val="24"/>
                <w:szCs w:val="24"/>
              </w:rPr>
            </w:pPr>
          </w:p>
        </w:tc>
        <w:tc>
          <w:tcPr>
            <w:tcW w:w="1375" w:type="pct"/>
            <w:vMerge w:val="continue"/>
            <w:shd w:val="clear" w:color="auto" w:fill="auto"/>
            <w:vAlign w:val="center"/>
          </w:tcPr>
          <w:p w14:paraId="29FF17A2">
            <w:pPr>
              <w:spacing w:line="360" w:lineRule="auto"/>
              <w:rPr>
                <w:rFonts w:hint="eastAsia" w:ascii="宋体" w:hAnsi="宋体" w:eastAsia="宋体" w:cs="宋体"/>
                <w:sz w:val="24"/>
                <w:szCs w:val="24"/>
              </w:rPr>
            </w:pPr>
          </w:p>
        </w:tc>
        <w:tc>
          <w:tcPr>
            <w:tcW w:w="362" w:type="pct"/>
            <w:vMerge w:val="continue"/>
            <w:shd w:val="clear" w:color="auto" w:fill="auto"/>
            <w:vAlign w:val="center"/>
          </w:tcPr>
          <w:p w14:paraId="200FA308">
            <w:pPr>
              <w:spacing w:line="360" w:lineRule="auto"/>
              <w:rPr>
                <w:rFonts w:hint="eastAsia" w:ascii="宋体" w:hAnsi="宋体" w:eastAsia="宋体" w:cs="宋体"/>
                <w:sz w:val="24"/>
                <w:szCs w:val="24"/>
              </w:rPr>
            </w:pPr>
          </w:p>
        </w:tc>
        <w:tc>
          <w:tcPr>
            <w:tcW w:w="367" w:type="pct"/>
            <w:vMerge w:val="continue"/>
            <w:shd w:val="clear" w:color="auto" w:fill="auto"/>
            <w:vAlign w:val="center"/>
          </w:tcPr>
          <w:p w14:paraId="329FF2C3">
            <w:pPr>
              <w:spacing w:line="360" w:lineRule="auto"/>
              <w:rPr>
                <w:rFonts w:hint="eastAsia" w:ascii="宋体" w:hAnsi="宋体" w:eastAsia="宋体" w:cs="宋体"/>
                <w:sz w:val="24"/>
                <w:szCs w:val="24"/>
              </w:rPr>
            </w:pPr>
          </w:p>
        </w:tc>
        <w:tc>
          <w:tcPr>
            <w:tcW w:w="348" w:type="pct"/>
            <w:shd w:val="clear" w:color="auto" w:fill="auto"/>
            <w:vAlign w:val="center"/>
          </w:tcPr>
          <w:p w14:paraId="6A4A2086">
            <w:pPr>
              <w:pStyle w:val="9"/>
              <w:widowControl/>
              <w:spacing w:beforeAutospacing="0" w:afterAutospacing="0" w:line="360" w:lineRule="auto"/>
              <w:rPr>
                <w:rFonts w:hint="eastAsia" w:ascii="宋体" w:hAnsi="宋体" w:eastAsia="宋体" w:cs="宋体"/>
                <w:sz w:val="24"/>
                <w:szCs w:val="24"/>
              </w:rPr>
            </w:pPr>
            <w:r>
              <w:rPr>
                <w:rStyle w:val="14"/>
                <w:rFonts w:hint="eastAsia" w:ascii="宋体" w:hAnsi="宋体" w:eastAsia="宋体" w:cs="宋体"/>
                <w:sz w:val="24"/>
                <w:szCs w:val="24"/>
              </w:rPr>
              <w:t>理论</w:t>
            </w:r>
          </w:p>
        </w:tc>
        <w:tc>
          <w:tcPr>
            <w:tcW w:w="344" w:type="pct"/>
            <w:shd w:val="clear" w:color="auto" w:fill="auto"/>
            <w:vAlign w:val="center"/>
          </w:tcPr>
          <w:p w14:paraId="4D3DD245">
            <w:pPr>
              <w:pStyle w:val="9"/>
              <w:widowControl/>
              <w:spacing w:beforeAutospacing="0" w:afterAutospacing="0" w:line="360" w:lineRule="auto"/>
              <w:rPr>
                <w:rFonts w:hint="eastAsia" w:ascii="宋体" w:hAnsi="宋体" w:eastAsia="宋体" w:cs="宋体"/>
                <w:sz w:val="24"/>
                <w:szCs w:val="24"/>
              </w:rPr>
            </w:pPr>
            <w:r>
              <w:rPr>
                <w:rStyle w:val="14"/>
                <w:rFonts w:hint="eastAsia" w:ascii="宋体" w:hAnsi="宋体" w:eastAsia="宋体" w:cs="宋体"/>
                <w:sz w:val="24"/>
                <w:szCs w:val="24"/>
              </w:rPr>
              <w:t>实践</w:t>
            </w:r>
          </w:p>
        </w:tc>
        <w:tc>
          <w:tcPr>
            <w:tcW w:w="741" w:type="pct"/>
            <w:vMerge w:val="continue"/>
            <w:shd w:val="clear" w:color="auto" w:fill="auto"/>
            <w:vAlign w:val="center"/>
          </w:tcPr>
          <w:p w14:paraId="584E9C95">
            <w:pPr>
              <w:spacing w:line="360" w:lineRule="auto"/>
              <w:rPr>
                <w:rFonts w:hint="eastAsia" w:ascii="宋体" w:hAnsi="宋体" w:eastAsia="宋体" w:cs="宋体"/>
                <w:sz w:val="24"/>
                <w:szCs w:val="24"/>
              </w:rPr>
            </w:pPr>
          </w:p>
        </w:tc>
        <w:tc>
          <w:tcPr>
            <w:tcW w:w="683" w:type="pct"/>
            <w:vMerge w:val="continue"/>
            <w:shd w:val="clear" w:color="auto" w:fill="auto"/>
            <w:vAlign w:val="center"/>
          </w:tcPr>
          <w:p w14:paraId="45CA4404">
            <w:pPr>
              <w:spacing w:line="360" w:lineRule="auto"/>
              <w:rPr>
                <w:rFonts w:hint="eastAsia" w:ascii="宋体" w:hAnsi="宋体" w:eastAsia="宋体" w:cs="宋体"/>
                <w:sz w:val="24"/>
                <w:szCs w:val="24"/>
              </w:rPr>
            </w:pPr>
          </w:p>
        </w:tc>
      </w:tr>
      <w:tr w14:paraId="6906464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5" w:type="pct"/>
            <w:shd w:val="clear" w:color="auto" w:fill="auto"/>
            <w:vAlign w:val="center"/>
          </w:tcPr>
          <w:p w14:paraId="407C4027">
            <w:pPr>
              <w:spacing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604557</w:t>
            </w:r>
          </w:p>
        </w:tc>
        <w:tc>
          <w:tcPr>
            <w:tcW w:w="1375" w:type="pct"/>
            <w:shd w:val="clear" w:color="auto" w:fill="auto"/>
            <w:vAlign w:val="top"/>
          </w:tcPr>
          <w:p w14:paraId="2A3F5179">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rPr>
              <w:t>国际贸易实务</w:t>
            </w:r>
          </w:p>
        </w:tc>
        <w:tc>
          <w:tcPr>
            <w:tcW w:w="362" w:type="pct"/>
            <w:shd w:val="clear" w:color="auto" w:fill="auto"/>
            <w:vAlign w:val="top"/>
          </w:tcPr>
          <w:p w14:paraId="43B66D6B">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2</w:t>
            </w:r>
          </w:p>
        </w:tc>
        <w:tc>
          <w:tcPr>
            <w:tcW w:w="367" w:type="pct"/>
            <w:shd w:val="clear" w:color="auto" w:fill="auto"/>
            <w:vAlign w:val="top"/>
          </w:tcPr>
          <w:p w14:paraId="7A35A164">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32</w:t>
            </w:r>
          </w:p>
        </w:tc>
        <w:tc>
          <w:tcPr>
            <w:tcW w:w="348" w:type="pct"/>
            <w:shd w:val="clear" w:color="auto" w:fill="auto"/>
            <w:vAlign w:val="center"/>
          </w:tcPr>
          <w:p w14:paraId="7C22221A">
            <w:pPr>
              <w:pStyle w:val="9"/>
              <w:widowControl/>
              <w:spacing w:beforeAutospacing="0" w:afterAutospacing="0" w:line="240" w:lineRule="auto"/>
              <w:jc w:val="center"/>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16</w:t>
            </w:r>
          </w:p>
        </w:tc>
        <w:tc>
          <w:tcPr>
            <w:tcW w:w="344" w:type="pct"/>
            <w:shd w:val="clear" w:color="auto" w:fill="auto"/>
            <w:vAlign w:val="center"/>
          </w:tcPr>
          <w:p w14:paraId="784F4979">
            <w:pPr>
              <w:pStyle w:val="9"/>
              <w:widowControl/>
              <w:spacing w:beforeAutospacing="0" w:afterAutospacing="0" w:line="240" w:lineRule="auto"/>
              <w:jc w:val="center"/>
              <w:rPr>
                <w:rFonts w:hint="default" w:ascii="宋体" w:hAnsi="宋体" w:eastAsia="宋体" w:cs="宋体"/>
                <w:sz w:val="24"/>
                <w:szCs w:val="24"/>
                <w:highlight w:val="none"/>
                <w:lang w:val="en-US" w:eastAsia="zh-CN"/>
              </w:rPr>
            </w:pPr>
            <w:r>
              <w:rPr>
                <w:rFonts w:hint="eastAsia" w:cs="宋体"/>
                <w:sz w:val="24"/>
                <w:szCs w:val="24"/>
                <w:highlight w:val="none"/>
                <w:lang w:val="en-US" w:eastAsia="zh-CN"/>
              </w:rPr>
              <w:t>16</w:t>
            </w:r>
          </w:p>
        </w:tc>
        <w:tc>
          <w:tcPr>
            <w:tcW w:w="741" w:type="pct"/>
            <w:shd w:val="clear" w:color="auto" w:fill="auto"/>
            <w:vAlign w:val="top"/>
          </w:tcPr>
          <w:p w14:paraId="0B3E7D56">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秋季</w:t>
            </w:r>
          </w:p>
        </w:tc>
        <w:tc>
          <w:tcPr>
            <w:tcW w:w="683" w:type="pct"/>
            <w:shd w:val="clear" w:color="auto" w:fill="auto"/>
            <w:vAlign w:val="center"/>
          </w:tcPr>
          <w:p w14:paraId="2051C426">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考查</w:t>
            </w:r>
          </w:p>
        </w:tc>
      </w:tr>
      <w:tr w14:paraId="0001BA4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5" w:type="pct"/>
            <w:shd w:val="clear" w:color="auto" w:fill="auto"/>
            <w:vAlign w:val="center"/>
          </w:tcPr>
          <w:p w14:paraId="56C852AA">
            <w:pPr>
              <w:spacing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604560</w:t>
            </w:r>
          </w:p>
        </w:tc>
        <w:tc>
          <w:tcPr>
            <w:tcW w:w="1375" w:type="pct"/>
            <w:shd w:val="clear" w:color="auto" w:fill="auto"/>
            <w:vAlign w:val="top"/>
          </w:tcPr>
          <w:p w14:paraId="46912D26">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国际商务谈判</w:t>
            </w:r>
          </w:p>
        </w:tc>
        <w:tc>
          <w:tcPr>
            <w:tcW w:w="362" w:type="pct"/>
            <w:shd w:val="clear" w:color="auto" w:fill="auto"/>
            <w:vAlign w:val="top"/>
          </w:tcPr>
          <w:p w14:paraId="1E36E90B">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2</w:t>
            </w:r>
          </w:p>
        </w:tc>
        <w:tc>
          <w:tcPr>
            <w:tcW w:w="367" w:type="pct"/>
            <w:shd w:val="clear" w:color="auto" w:fill="auto"/>
            <w:vAlign w:val="top"/>
          </w:tcPr>
          <w:p w14:paraId="5EB3A21C">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32</w:t>
            </w:r>
          </w:p>
        </w:tc>
        <w:tc>
          <w:tcPr>
            <w:tcW w:w="348" w:type="pct"/>
            <w:shd w:val="clear" w:color="auto" w:fill="auto"/>
            <w:vAlign w:val="center"/>
          </w:tcPr>
          <w:p w14:paraId="00EA8339">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16</w:t>
            </w:r>
          </w:p>
        </w:tc>
        <w:tc>
          <w:tcPr>
            <w:tcW w:w="344" w:type="pct"/>
            <w:shd w:val="clear" w:color="auto" w:fill="auto"/>
            <w:vAlign w:val="center"/>
          </w:tcPr>
          <w:p w14:paraId="69F965DD">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16</w:t>
            </w:r>
          </w:p>
        </w:tc>
        <w:tc>
          <w:tcPr>
            <w:tcW w:w="741" w:type="pct"/>
            <w:shd w:val="clear" w:color="auto" w:fill="auto"/>
            <w:vAlign w:val="top"/>
          </w:tcPr>
          <w:p w14:paraId="6ADE13DA">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秋季</w:t>
            </w:r>
          </w:p>
        </w:tc>
        <w:tc>
          <w:tcPr>
            <w:tcW w:w="683" w:type="pct"/>
            <w:shd w:val="clear" w:color="auto" w:fill="auto"/>
            <w:vAlign w:val="center"/>
          </w:tcPr>
          <w:p w14:paraId="3E1D541F">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cs="宋体"/>
                <w:sz w:val="24"/>
                <w:szCs w:val="24"/>
                <w:lang w:val="en-US" w:eastAsia="zh-CN"/>
              </w:rPr>
              <w:t>考查</w:t>
            </w:r>
          </w:p>
        </w:tc>
      </w:tr>
      <w:tr w14:paraId="60FD299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5" w:type="pct"/>
            <w:shd w:val="clear" w:color="auto" w:fill="auto"/>
            <w:vAlign w:val="center"/>
          </w:tcPr>
          <w:p w14:paraId="065F9A88">
            <w:pPr>
              <w:spacing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604558</w:t>
            </w:r>
          </w:p>
        </w:tc>
        <w:tc>
          <w:tcPr>
            <w:tcW w:w="1375" w:type="pct"/>
            <w:shd w:val="clear" w:color="auto" w:fill="auto"/>
            <w:vAlign w:val="center"/>
          </w:tcPr>
          <w:p w14:paraId="3CBAEB03">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rPr>
              <w:t>农业知识产权</w:t>
            </w:r>
          </w:p>
        </w:tc>
        <w:tc>
          <w:tcPr>
            <w:tcW w:w="362" w:type="pct"/>
            <w:shd w:val="clear" w:color="auto" w:fill="auto"/>
            <w:vAlign w:val="center"/>
          </w:tcPr>
          <w:p w14:paraId="2933E73B">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2</w:t>
            </w:r>
          </w:p>
        </w:tc>
        <w:tc>
          <w:tcPr>
            <w:tcW w:w="367" w:type="pct"/>
            <w:shd w:val="clear" w:color="auto" w:fill="auto"/>
            <w:vAlign w:val="center"/>
          </w:tcPr>
          <w:p w14:paraId="022DB5CC">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32</w:t>
            </w:r>
          </w:p>
        </w:tc>
        <w:tc>
          <w:tcPr>
            <w:tcW w:w="348" w:type="pct"/>
            <w:shd w:val="clear" w:color="auto" w:fill="auto"/>
            <w:vAlign w:val="center"/>
          </w:tcPr>
          <w:p w14:paraId="1E393849">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26</w:t>
            </w:r>
          </w:p>
        </w:tc>
        <w:tc>
          <w:tcPr>
            <w:tcW w:w="344" w:type="pct"/>
            <w:shd w:val="clear" w:color="auto" w:fill="auto"/>
            <w:vAlign w:val="center"/>
          </w:tcPr>
          <w:p w14:paraId="3E778B80">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cs="宋体"/>
                <w:sz w:val="24"/>
                <w:szCs w:val="24"/>
                <w:lang w:val="en-US" w:eastAsia="zh-CN"/>
              </w:rPr>
              <w:t>6</w:t>
            </w:r>
          </w:p>
        </w:tc>
        <w:tc>
          <w:tcPr>
            <w:tcW w:w="741" w:type="pct"/>
            <w:shd w:val="clear" w:color="auto" w:fill="auto"/>
            <w:vAlign w:val="center"/>
          </w:tcPr>
          <w:p w14:paraId="5A031E2B">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秋季</w:t>
            </w:r>
          </w:p>
        </w:tc>
        <w:tc>
          <w:tcPr>
            <w:tcW w:w="683" w:type="pct"/>
            <w:shd w:val="clear" w:color="auto" w:fill="auto"/>
            <w:vAlign w:val="center"/>
          </w:tcPr>
          <w:p w14:paraId="36D1C993">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考查</w:t>
            </w:r>
          </w:p>
        </w:tc>
      </w:tr>
      <w:tr w14:paraId="267687E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5" w:type="pct"/>
            <w:shd w:val="clear" w:color="auto" w:fill="auto"/>
            <w:vAlign w:val="center"/>
          </w:tcPr>
          <w:p w14:paraId="19C004F5">
            <w:pPr>
              <w:spacing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604555</w:t>
            </w:r>
          </w:p>
        </w:tc>
        <w:tc>
          <w:tcPr>
            <w:tcW w:w="1375" w:type="pct"/>
            <w:shd w:val="clear" w:color="auto" w:fill="auto"/>
            <w:vAlign w:val="top"/>
          </w:tcPr>
          <w:p w14:paraId="474C1700">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欧美</w:t>
            </w:r>
            <w:r>
              <w:rPr>
                <w:rFonts w:hint="eastAsia" w:ascii="宋体" w:hAnsi="宋体" w:eastAsia="宋体" w:cs="宋体"/>
                <w:b w:val="0"/>
                <w:bCs w:val="0"/>
                <w:sz w:val="24"/>
                <w:szCs w:val="24"/>
                <w:highlight w:val="none"/>
              </w:rPr>
              <w:t>知识产权法</w:t>
            </w:r>
          </w:p>
        </w:tc>
        <w:tc>
          <w:tcPr>
            <w:tcW w:w="362" w:type="pct"/>
            <w:shd w:val="clear" w:color="auto" w:fill="auto"/>
            <w:vAlign w:val="top"/>
          </w:tcPr>
          <w:p w14:paraId="2EF9E16D">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2</w:t>
            </w:r>
          </w:p>
        </w:tc>
        <w:tc>
          <w:tcPr>
            <w:tcW w:w="367" w:type="pct"/>
            <w:shd w:val="clear" w:color="auto" w:fill="auto"/>
            <w:vAlign w:val="top"/>
          </w:tcPr>
          <w:p w14:paraId="02B25BB5">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32</w:t>
            </w:r>
          </w:p>
        </w:tc>
        <w:tc>
          <w:tcPr>
            <w:tcW w:w="348" w:type="pct"/>
            <w:shd w:val="clear" w:color="auto" w:fill="auto"/>
            <w:vAlign w:val="center"/>
          </w:tcPr>
          <w:p w14:paraId="44C733AE">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26</w:t>
            </w:r>
          </w:p>
        </w:tc>
        <w:tc>
          <w:tcPr>
            <w:tcW w:w="344" w:type="pct"/>
            <w:shd w:val="clear" w:color="auto" w:fill="auto"/>
            <w:vAlign w:val="center"/>
          </w:tcPr>
          <w:p w14:paraId="5E002693">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cs="宋体"/>
                <w:sz w:val="24"/>
                <w:szCs w:val="24"/>
                <w:lang w:val="en-US" w:eastAsia="zh-CN"/>
              </w:rPr>
              <w:t>6</w:t>
            </w:r>
          </w:p>
        </w:tc>
        <w:tc>
          <w:tcPr>
            <w:tcW w:w="741" w:type="pct"/>
            <w:shd w:val="clear" w:color="auto" w:fill="auto"/>
            <w:vAlign w:val="top"/>
          </w:tcPr>
          <w:p w14:paraId="5F48308C">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春季</w:t>
            </w:r>
          </w:p>
        </w:tc>
        <w:tc>
          <w:tcPr>
            <w:tcW w:w="683" w:type="pct"/>
            <w:shd w:val="clear" w:color="auto" w:fill="auto"/>
            <w:vAlign w:val="center"/>
          </w:tcPr>
          <w:p w14:paraId="13466023">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cs="宋体"/>
                <w:sz w:val="24"/>
                <w:szCs w:val="24"/>
                <w:lang w:val="en-US" w:eastAsia="zh-CN"/>
              </w:rPr>
              <w:t>考查</w:t>
            </w:r>
          </w:p>
        </w:tc>
      </w:tr>
      <w:tr w14:paraId="13AFD10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5" w:type="pct"/>
            <w:shd w:val="clear" w:color="auto" w:fill="auto"/>
            <w:vAlign w:val="center"/>
          </w:tcPr>
          <w:p w14:paraId="68FCCCCF">
            <w:pPr>
              <w:spacing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604554</w:t>
            </w:r>
          </w:p>
        </w:tc>
        <w:tc>
          <w:tcPr>
            <w:tcW w:w="1375" w:type="pct"/>
            <w:shd w:val="clear" w:color="auto" w:fill="auto"/>
            <w:vAlign w:val="center"/>
          </w:tcPr>
          <w:p w14:paraId="0D147CE9">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rPr>
              <w:t>国际AI立法与知识产权保护</w:t>
            </w:r>
          </w:p>
        </w:tc>
        <w:tc>
          <w:tcPr>
            <w:tcW w:w="362" w:type="pct"/>
            <w:shd w:val="clear" w:color="auto" w:fill="auto"/>
            <w:vAlign w:val="center"/>
          </w:tcPr>
          <w:p w14:paraId="1593AB90">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2</w:t>
            </w:r>
          </w:p>
        </w:tc>
        <w:tc>
          <w:tcPr>
            <w:tcW w:w="367" w:type="pct"/>
            <w:shd w:val="clear" w:color="auto" w:fill="auto"/>
            <w:vAlign w:val="center"/>
          </w:tcPr>
          <w:p w14:paraId="180263AA">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32</w:t>
            </w:r>
          </w:p>
        </w:tc>
        <w:tc>
          <w:tcPr>
            <w:tcW w:w="348" w:type="pct"/>
            <w:shd w:val="clear" w:color="auto" w:fill="auto"/>
            <w:vAlign w:val="center"/>
          </w:tcPr>
          <w:p w14:paraId="2E2AB27C">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26</w:t>
            </w:r>
          </w:p>
        </w:tc>
        <w:tc>
          <w:tcPr>
            <w:tcW w:w="344" w:type="pct"/>
            <w:shd w:val="clear" w:color="auto" w:fill="auto"/>
            <w:vAlign w:val="center"/>
          </w:tcPr>
          <w:p w14:paraId="514404A0">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cs="宋体"/>
                <w:sz w:val="24"/>
                <w:szCs w:val="24"/>
                <w:lang w:val="en-US" w:eastAsia="zh-CN"/>
              </w:rPr>
              <w:t>6</w:t>
            </w:r>
          </w:p>
        </w:tc>
        <w:tc>
          <w:tcPr>
            <w:tcW w:w="741" w:type="pct"/>
            <w:shd w:val="clear" w:color="auto" w:fill="auto"/>
            <w:vAlign w:val="center"/>
          </w:tcPr>
          <w:p w14:paraId="7F83F1EB">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highlight w:val="none"/>
                <w:lang w:val="en-US" w:eastAsia="zh-CN"/>
              </w:rPr>
              <w:t>春季</w:t>
            </w:r>
          </w:p>
        </w:tc>
        <w:tc>
          <w:tcPr>
            <w:tcW w:w="683" w:type="pct"/>
            <w:shd w:val="clear" w:color="auto" w:fill="auto"/>
            <w:vAlign w:val="center"/>
          </w:tcPr>
          <w:p w14:paraId="052E02E4">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考查</w:t>
            </w:r>
          </w:p>
        </w:tc>
      </w:tr>
      <w:tr w14:paraId="3CABDB3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blCellSpacing w:w="0" w:type="dxa"/>
          <w:jc w:val="center"/>
        </w:trPr>
        <w:tc>
          <w:tcPr>
            <w:tcW w:w="775" w:type="pct"/>
            <w:shd w:val="clear" w:color="auto" w:fill="auto"/>
            <w:vAlign w:val="center"/>
          </w:tcPr>
          <w:p w14:paraId="2DB7B6F5">
            <w:pPr>
              <w:spacing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604553</w:t>
            </w:r>
          </w:p>
        </w:tc>
        <w:tc>
          <w:tcPr>
            <w:tcW w:w="1375" w:type="pct"/>
            <w:shd w:val="clear" w:color="auto" w:fill="auto"/>
            <w:vAlign w:val="top"/>
          </w:tcPr>
          <w:p w14:paraId="54A15F2F">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日本知识产权</w:t>
            </w:r>
          </w:p>
        </w:tc>
        <w:tc>
          <w:tcPr>
            <w:tcW w:w="362" w:type="pct"/>
            <w:shd w:val="clear" w:color="auto" w:fill="auto"/>
            <w:vAlign w:val="top"/>
          </w:tcPr>
          <w:p w14:paraId="747D83C7">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2</w:t>
            </w:r>
          </w:p>
        </w:tc>
        <w:tc>
          <w:tcPr>
            <w:tcW w:w="367" w:type="pct"/>
            <w:shd w:val="clear" w:color="auto" w:fill="auto"/>
            <w:vAlign w:val="top"/>
          </w:tcPr>
          <w:p w14:paraId="76BDC8AA">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32</w:t>
            </w:r>
          </w:p>
        </w:tc>
        <w:tc>
          <w:tcPr>
            <w:tcW w:w="348" w:type="pct"/>
            <w:shd w:val="clear" w:color="auto" w:fill="auto"/>
            <w:vAlign w:val="center"/>
          </w:tcPr>
          <w:p w14:paraId="65EDBD9B">
            <w:pPr>
              <w:pStyle w:val="9"/>
              <w:widowControl/>
              <w:spacing w:beforeAutospacing="0" w:afterAutospacing="0" w:line="240" w:lineRule="auto"/>
              <w:jc w:val="center"/>
              <w:rPr>
                <w:rFonts w:hint="default" w:ascii="宋体" w:hAnsi="宋体" w:eastAsia="宋体" w:cs="宋体"/>
                <w:sz w:val="24"/>
                <w:szCs w:val="24"/>
                <w:lang w:val="en-US" w:eastAsia="zh-CN"/>
              </w:rPr>
            </w:pPr>
            <w:r>
              <w:rPr>
                <w:rFonts w:hint="eastAsia" w:cs="宋体"/>
                <w:sz w:val="24"/>
                <w:szCs w:val="24"/>
                <w:lang w:val="en-US" w:eastAsia="zh-CN"/>
              </w:rPr>
              <w:t>24</w:t>
            </w:r>
          </w:p>
        </w:tc>
        <w:tc>
          <w:tcPr>
            <w:tcW w:w="344" w:type="pct"/>
            <w:shd w:val="clear" w:color="auto" w:fill="auto"/>
            <w:vAlign w:val="center"/>
          </w:tcPr>
          <w:p w14:paraId="7279D971">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cs="宋体"/>
                <w:sz w:val="24"/>
                <w:szCs w:val="24"/>
                <w:lang w:val="en-US" w:eastAsia="zh-CN"/>
              </w:rPr>
              <w:t>8</w:t>
            </w:r>
          </w:p>
        </w:tc>
        <w:tc>
          <w:tcPr>
            <w:tcW w:w="741" w:type="pct"/>
            <w:shd w:val="clear" w:color="auto" w:fill="auto"/>
            <w:vAlign w:val="top"/>
          </w:tcPr>
          <w:p w14:paraId="73810FF8">
            <w:pPr>
              <w:widowControl/>
              <w:spacing w:line="240" w:lineRule="auto"/>
              <w:jc w:val="center"/>
              <w:rPr>
                <w:rFonts w:hint="eastAsia" w:ascii="宋体" w:hAnsi="宋体" w:eastAsia="宋体" w:cs="宋体"/>
                <w:sz w:val="24"/>
                <w:szCs w:val="24"/>
              </w:rPr>
            </w:pPr>
            <w:r>
              <w:rPr>
                <w:rFonts w:hint="eastAsia" w:ascii="宋体" w:hAnsi="宋体" w:eastAsia="宋体" w:cs="宋体"/>
                <w:b w:val="0"/>
                <w:bCs w:val="0"/>
                <w:sz w:val="24"/>
                <w:szCs w:val="24"/>
                <w:lang w:val="en-US" w:eastAsia="zh-CN"/>
              </w:rPr>
              <w:t>春季</w:t>
            </w:r>
          </w:p>
        </w:tc>
        <w:tc>
          <w:tcPr>
            <w:tcW w:w="683" w:type="pct"/>
            <w:shd w:val="clear" w:color="auto" w:fill="auto"/>
            <w:vAlign w:val="center"/>
          </w:tcPr>
          <w:p w14:paraId="26AAD6E3">
            <w:pPr>
              <w:pStyle w:val="9"/>
              <w:widowControl/>
              <w:spacing w:beforeAutospacing="0" w:afterAutospacing="0" w:line="24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考查</w:t>
            </w:r>
          </w:p>
        </w:tc>
      </w:tr>
    </w:tbl>
    <w:p w14:paraId="24CD02D7">
      <w:pPr>
        <w:numPr>
          <w:ilvl w:val="0"/>
          <w:numId w:val="0"/>
        </w:numPr>
        <w:spacing w:line="360" w:lineRule="auto"/>
        <w:rPr>
          <w:rFonts w:hint="eastAsia" w:ascii="宋体" w:hAnsi="宋体" w:eastAsia="宋体" w:cs="宋体"/>
          <w:b/>
          <w:bCs/>
          <w:sz w:val="24"/>
          <w:szCs w:val="24"/>
          <w:lang w:val="en-US" w:eastAsia="zh-CN"/>
        </w:rPr>
      </w:pPr>
    </w:p>
    <w:p w14:paraId="5816928B">
      <w:pPr>
        <w:pStyle w:val="9"/>
        <w:widowControl/>
        <w:shd w:val="clear" w:color="auto" w:fill="FFFFFF"/>
        <w:spacing w:beforeAutospacing="0" w:afterAutospacing="0" w:line="360" w:lineRule="auto"/>
        <w:ind w:firstLine="562" w:firstLineChars="200"/>
        <w:rPr>
          <w:rFonts w:asciiTheme="minorEastAsia" w:hAnsiTheme="minorEastAsia" w:cstheme="minorEastAsia"/>
          <w:b/>
          <w:bCs/>
          <w:color w:val="000000"/>
          <w:sz w:val="28"/>
          <w:szCs w:val="28"/>
          <w:shd w:val="clear" w:color="auto" w:fill="FFFFFF"/>
        </w:rPr>
      </w:pPr>
      <w:r>
        <w:rPr>
          <w:rFonts w:hint="eastAsia" w:asciiTheme="minorEastAsia" w:hAnsiTheme="minorEastAsia" w:cstheme="minorEastAsia"/>
          <w:b/>
          <w:bCs/>
          <w:color w:val="000000"/>
          <w:sz w:val="28"/>
          <w:szCs w:val="28"/>
          <w:shd w:val="clear" w:color="auto" w:fill="FFFFFF"/>
          <w:lang w:val="en-US" w:eastAsia="zh-CN"/>
        </w:rPr>
        <w:t>五</w:t>
      </w:r>
      <w:r>
        <w:rPr>
          <w:rFonts w:hint="eastAsia" w:asciiTheme="minorEastAsia" w:hAnsiTheme="minorEastAsia" w:cstheme="minorEastAsia"/>
          <w:b/>
          <w:bCs/>
          <w:color w:val="000000"/>
          <w:sz w:val="28"/>
          <w:szCs w:val="28"/>
          <w:shd w:val="clear" w:color="auto" w:fill="FFFFFF"/>
        </w:rPr>
        <w:t>、收费</w:t>
      </w:r>
    </w:p>
    <w:p w14:paraId="739A9FAB">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学生修读微专业不收费</w:t>
      </w:r>
      <w:r>
        <w:rPr>
          <w:rFonts w:hint="eastAsia" w:ascii="宋体" w:hAnsi="宋体" w:eastAsia="宋体" w:cs="宋体"/>
          <w:i w:val="0"/>
          <w:iCs w:val="0"/>
          <w:caps w:val="0"/>
          <w:color w:val="000000"/>
          <w:spacing w:val="0"/>
          <w:sz w:val="24"/>
          <w:szCs w:val="24"/>
          <w:shd w:val="clear" w:color="auto" w:fill="FFFFFF"/>
          <w:lang w:eastAsia="zh-CN"/>
        </w:rPr>
        <w:t>。</w:t>
      </w:r>
    </w:p>
    <w:p w14:paraId="26B48CA8">
      <w:pPr>
        <w:pStyle w:val="9"/>
        <w:widowControl/>
        <w:shd w:val="clear" w:color="auto" w:fill="FFFFFF"/>
        <w:spacing w:before="156" w:beforeLines="50" w:beforeAutospacing="0" w:after="156" w:afterLines="50" w:afterAutospacing="0" w:line="360" w:lineRule="auto"/>
        <w:ind w:firstLine="562" w:firstLineChars="200"/>
        <w:rPr>
          <w:rStyle w:val="14"/>
          <w:rFonts w:hint="eastAsia" w:asciiTheme="minorEastAsia" w:hAnsiTheme="minorEastAsia" w:cstheme="minorEastAsia"/>
          <w:color w:val="000000"/>
          <w:sz w:val="28"/>
          <w:szCs w:val="28"/>
          <w:shd w:val="clear" w:color="auto" w:fill="FFFFFF"/>
        </w:rPr>
      </w:pPr>
      <w:r>
        <w:rPr>
          <w:rStyle w:val="14"/>
          <w:rFonts w:hint="eastAsia" w:asciiTheme="minorEastAsia" w:hAnsiTheme="minorEastAsia" w:cstheme="minorEastAsia"/>
          <w:color w:val="000000"/>
          <w:sz w:val="28"/>
          <w:szCs w:val="28"/>
          <w:shd w:val="clear" w:color="auto" w:fill="FFFFFF"/>
        </w:rPr>
        <w:t>六、修读年限及结业要求</w:t>
      </w:r>
    </w:p>
    <w:p w14:paraId="648768AF">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lang w:val="en-US" w:eastAsia="zh-CN"/>
        </w:rPr>
      </w:pPr>
      <w:r>
        <w:rPr>
          <w:rFonts w:hint="eastAsia" w:cs="宋体"/>
          <w:color w:val="000000"/>
          <w:sz w:val="24"/>
          <w:szCs w:val="24"/>
          <w:shd w:val="clear" w:color="auto" w:fill="FFFFFF"/>
          <w:lang w:val="en-US" w:eastAsia="zh-CN"/>
        </w:rPr>
        <w:t>本年度招生</w:t>
      </w:r>
      <w:r>
        <w:rPr>
          <w:rFonts w:hint="eastAsia" w:ascii="宋体" w:hAnsi="宋体" w:eastAsia="宋体" w:cs="宋体"/>
          <w:color w:val="000000"/>
          <w:sz w:val="24"/>
          <w:szCs w:val="24"/>
          <w:shd w:val="clear" w:color="auto" w:fill="FFFFFF"/>
          <w:lang w:val="en-US" w:eastAsia="zh-CN"/>
        </w:rPr>
        <w:t>培养周期</w:t>
      </w:r>
      <w:r>
        <w:rPr>
          <w:rFonts w:hint="default" w:ascii="Times New Roman" w:hAnsi="Times New Roman" w:eastAsia="宋体" w:cs="Times New Roman"/>
          <w:color w:val="000000"/>
          <w:sz w:val="24"/>
          <w:szCs w:val="24"/>
          <w:shd w:val="clear" w:color="auto" w:fill="FFFFFF"/>
          <w:lang w:val="en-US" w:eastAsia="zh-CN"/>
        </w:rPr>
        <w:t>为1年，202</w:t>
      </w:r>
      <w:r>
        <w:rPr>
          <w:rFonts w:hint="eastAsia" w:ascii="Times New Roman" w:hAnsi="Times New Roman" w:cs="Times New Roman"/>
          <w:color w:val="000000"/>
          <w:sz w:val="24"/>
          <w:szCs w:val="24"/>
          <w:shd w:val="clear" w:color="auto" w:fill="FFFFFF"/>
          <w:lang w:val="en-US" w:eastAsia="zh-CN"/>
        </w:rPr>
        <w:t>6</w:t>
      </w:r>
      <w:r>
        <w:rPr>
          <w:rFonts w:hint="default" w:ascii="Times New Roman" w:hAnsi="Times New Roman" w:eastAsia="宋体" w:cs="Times New Roman"/>
          <w:color w:val="000000"/>
          <w:sz w:val="24"/>
          <w:szCs w:val="24"/>
          <w:shd w:val="clear" w:color="auto" w:fill="FFFFFF"/>
          <w:lang w:val="en-US" w:eastAsia="zh-CN"/>
        </w:rPr>
        <w:t>年</w:t>
      </w:r>
      <w:r>
        <w:rPr>
          <w:rFonts w:hint="eastAsia" w:ascii="Times New Roman" w:hAnsi="Times New Roman" w:cs="Times New Roman"/>
          <w:color w:val="000000"/>
          <w:sz w:val="24"/>
          <w:szCs w:val="24"/>
          <w:shd w:val="clear" w:color="auto" w:fill="FFFFFF"/>
          <w:lang w:val="en-US" w:eastAsia="zh-CN"/>
        </w:rPr>
        <w:t>9</w:t>
      </w:r>
      <w:r>
        <w:rPr>
          <w:rFonts w:hint="default" w:ascii="Times New Roman" w:hAnsi="Times New Roman" w:eastAsia="宋体" w:cs="Times New Roman"/>
          <w:color w:val="000000"/>
          <w:sz w:val="24"/>
          <w:szCs w:val="24"/>
          <w:shd w:val="clear" w:color="auto" w:fill="FFFFFF"/>
          <w:lang w:val="en-US" w:eastAsia="zh-CN"/>
        </w:rPr>
        <w:t>月开课，202</w:t>
      </w:r>
      <w:r>
        <w:rPr>
          <w:rFonts w:hint="eastAsia" w:ascii="Times New Roman" w:hAnsi="Times New Roman" w:cs="Times New Roman"/>
          <w:color w:val="000000"/>
          <w:sz w:val="24"/>
          <w:szCs w:val="24"/>
          <w:shd w:val="clear" w:color="auto" w:fill="FFFFFF"/>
          <w:lang w:val="en-US" w:eastAsia="zh-CN"/>
        </w:rPr>
        <w:t>7</w:t>
      </w:r>
      <w:r>
        <w:rPr>
          <w:rFonts w:hint="default" w:ascii="Times New Roman" w:hAnsi="Times New Roman" w:eastAsia="宋体" w:cs="Times New Roman"/>
          <w:color w:val="000000"/>
          <w:sz w:val="24"/>
          <w:szCs w:val="24"/>
          <w:shd w:val="clear" w:color="auto" w:fill="FFFFFF"/>
          <w:lang w:val="en-US" w:eastAsia="zh-CN"/>
        </w:rPr>
        <w:t>年5月结课。</w:t>
      </w:r>
      <w:r>
        <w:rPr>
          <w:rFonts w:hint="eastAsia" w:ascii="Times New Roman" w:hAnsi="Times New Roman" w:cs="Times New Roman"/>
          <w:color w:val="000000"/>
          <w:sz w:val="24"/>
          <w:szCs w:val="24"/>
          <w:shd w:val="clear" w:color="auto" w:fill="FFFFFF"/>
          <w:lang w:val="en-US" w:eastAsia="zh-CN"/>
        </w:rPr>
        <w:t>修读最长时限不超过主修毕业。</w:t>
      </w:r>
      <w:r>
        <w:rPr>
          <w:rFonts w:hint="default" w:ascii="Times New Roman" w:hAnsi="Times New Roman" w:eastAsia="宋体" w:cs="Times New Roman"/>
          <w:color w:val="000000"/>
          <w:sz w:val="24"/>
          <w:szCs w:val="24"/>
          <w:shd w:val="clear" w:color="auto" w:fill="FFFFFF"/>
          <w:lang w:val="en-US" w:eastAsia="zh-CN"/>
        </w:rPr>
        <w:t>需修读以上6门课程，修满12学分。微专业授课时间为工作日晚上或周末，采取线上或线下授课、线上线下混合方式授课，每门课程8-12周</w:t>
      </w:r>
      <w:r>
        <w:rPr>
          <w:rFonts w:hint="eastAsia" w:ascii="宋体" w:hAnsi="宋体" w:eastAsia="宋体" w:cs="宋体"/>
          <w:color w:val="000000"/>
          <w:sz w:val="24"/>
          <w:szCs w:val="24"/>
          <w:shd w:val="clear" w:color="auto" w:fill="FFFFFF"/>
          <w:lang w:val="en-US" w:eastAsia="zh-CN"/>
        </w:rPr>
        <w:t>内结课。</w:t>
      </w:r>
    </w:p>
    <w:p w14:paraId="1358AEA6">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学生主修专业学业结束，无论毕业或者结业离校，微专业学习同时终止。</w:t>
      </w:r>
    </w:p>
    <w:p w14:paraId="061ABFEA">
      <w:pPr>
        <w:pStyle w:val="9"/>
        <w:widowControl/>
        <w:shd w:val="clear" w:color="auto" w:fill="FFFFFF"/>
        <w:spacing w:beforeAutospacing="0" w:afterAutospacing="0" w:line="360" w:lineRule="auto"/>
        <w:ind w:firstLine="480" w:firstLineChars="200"/>
        <w:rPr>
          <w:rFonts w:hint="eastAsia" w:ascii="宋体" w:hAnsi="宋体" w:eastAsia="宋体" w:cs="宋体"/>
          <w:color w:val="000000"/>
          <w:sz w:val="24"/>
          <w:szCs w:val="24"/>
          <w:shd w:val="clear" w:color="auto" w:fill="FFFFFF"/>
        </w:rPr>
      </w:pPr>
      <w:r>
        <w:rPr>
          <w:rFonts w:hint="eastAsia" w:ascii="宋体" w:hAnsi="宋体" w:eastAsia="宋体" w:cs="宋体"/>
          <w:color w:val="000000"/>
          <w:sz w:val="24"/>
          <w:szCs w:val="24"/>
          <w:shd w:val="clear" w:color="auto" w:fill="FFFFFF"/>
        </w:rPr>
        <w:t>学生在校期间完成微专业全部课程，获得规定学分，经学院审核，报本科生院审定，发放学校统一制作的微专业结业证书。微专业不在中国高等教育学生信息网（学信网）备注信息，不具有学士学位授予资格。</w:t>
      </w:r>
    </w:p>
    <w:p w14:paraId="143E9A89">
      <w:pPr>
        <w:pStyle w:val="9"/>
        <w:widowControl/>
        <w:shd w:val="clear" w:color="auto" w:fill="FFFFFF"/>
        <w:spacing w:before="156" w:beforeLines="50" w:beforeAutospacing="0" w:after="156" w:afterLines="50" w:afterAutospacing="0" w:line="360" w:lineRule="auto"/>
        <w:ind w:firstLine="562" w:firstLineChars="200"/>
        <w:rPr>
          <w:rFonts w:hint="default" w:ascii="Times New Roman" w:hAnsi="Times New Roman" w:cs="Times New Roman"/>
          <w:sz w:val="24"/>
          <w:szCs w:val="24"/>
          <w:lang w:val="en-US" w:eastAsia="zh-CN"/>
        </w:rPr>
      </w:pPr>
      <w:r>
        <w:rPr>
          <w:rStyle w:val="14"/>
          <w:rFonts w:hint="eastAsia" w:eastAsia="宋体" w:asciiTheme="minorEastAsia" w:hAnsiTheme="minorEastAsia" w:cstheme="minorEastAsia"/>
          <w:color w:val="000000"/>
          <w:sz w:val="28"/>
          <w:szCs w:val="28"/>
          <w:shd w:val="clear" w:color="auto" w:fill="FFFFFF"/>
        </w:rPr>
        <w:t>七、</w:t>
      </w:r>
      <w:r>
        <w:rPr>
          <w:rStyle w:val="14"/>
          <w:rFonts w:hint="eastAsia" w:asciiTheme="minorEastAsia" w:hAnsiTheme="minorEastAsia" w:cstheme="minorEastAsia"/>
          <w:color w:val="000000"/>
          <w:sz w:val="28"/>
          <w:szCs w:val="28"/>
          <w:shd w:val="clear" w:color="auto" w:fill="FFFFFF"/>
          <w:lang w:val="en-US" w:eastAsia="zh-CN"/>
        </w:rPr>
        <w:t>联系人</w:t>
      </w:r>
      <w:r>
        <w:rPr>
          <w:rStyle w:val="14"/>
          <w:rFonts w:hint="eastAsia" w:eastAsia="宋体" w:asciiTheme="minorEastAsia" w:hAnsiTheme="minorEastAsia" w:cstheme="minorEastAsia"/>
          <w:color w:val="000000"/>
          <w:sz w:val="28"/>
          <w:szCs w:val="28"/>
          <w:shd w:val="clear" w:color="auto" w:fill="FFFFFF"/>
        </w:rPr>
        <w:t>及联系方式</w:t>
      </w:r>
      <w:r>
        <w:rPr>
          <w:rFonts w:hint="eastAsia" w:ascii="Times New Roman" w:hAnsi="Times New Roman" w:cs="Times New Roman"/>
          <w:sz w:val="24"/>
          <w:szCs w:val="24"/>
          <w:lang w:val="en-US" w:eastAsia="zh-CN"/>
        </w:rPr>
        <w:t xml:space="preserve">  </w:t>
      </w:r>
    </w:p>
    <w:p w14:paraId="04E300E1">
      <w:pPr>
        <w:numPr>
          <w:ilvl w:val="0"/>
          <w:numId w:val="0"/>
        </w:numPr>
        <w:spacing w:line="36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联 系 人：张老师</w:t>
      </w:r>
      <w:r>
        <w:rPr>
          <w:rFonts w:hint="eastAsia" w:ascii="Times New Roman" w:hAnsi="Times New Roman" w:cs="Times New Roman"/>
          <w:sz w:val="24"/>
          <w:szCs w:val="24"/>
          <w:lang w:val="en-US" w:eastAsia="zh-CN"/>
        </w:rPr>
        <w:t>、肖老师</w:t>
      </w:r>
    </w:p>
    <w:p w14:paraId="5679B604">
      <w:pPr>
        <w:numPr>
          <w:ilvl w:val="0"/>
          <w:numId w:val="0"/>
        </w:numPr>
        <w:spacing w:line="36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联系电话：15920515851</w:t>
      </w:r>
      <w:r>
        <w:rPr>
          <w:rFonts w:hint="eastAsia" w:ascii="Times New Roman" w:hAnsi="Times New Roman" w:cs="Times New Roman"/>
          <w:sz w:val="24"/>
          <w:szCs w:val="24"/>
          <w:lang w:val="en-US" w:eastAsia="zh-CN"/>
        </w:rPr>
        <w:t>（张老师）、19375560610（肖老师）</w:t>
      </w:r>
    </w:p>
    <w:p w14:paraId="69BA436D">
      <w:pPr>
        <w:numPr>
          <w:ilvl w:val="0"/>
          <w:numId w:val="0"/>
        </w:numPr>
        <w:spacing w:line="36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咨询地点：外国语学院5A205日语系办公室</w:t>
      </w:r>
    </w:p>
    <w:p w14:paraId="743C521A">
      <w:pPr>
        <w:numPr>
          <w:ilvl w:val="0"/>
          <w:numId w:val="0"/>
        </w:numPr>
        <w:spacing w:line="36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邮    箱：zhxj0412@163.com</w:t>
      </w:r>
    </w:p>
    <w:p w14:paraId="0D38DF98">
      <w:pPr>
        <w:numPr>
          <w:ilvl w:val="0"/>
          <w:numId w:val="0"/>
        </w:numPr>
        <w:spacing w:line="360" w:lineRule="auto"/>
        <w:ind w:firstLine="480"/>
        <w:jc w:val="both"/>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微专业咨询群：</w:t>
      </w:r>
    </w:p>
    <w:p w14:paraId="04AEC21B">
      <w:pPr>
        <w:numPr>
          <w:ilvl w:val="0"/>
          <w:numId w:val="0"/>
        </w:numPr>
        <w:spacing w:line="360" w:lineRule="auto"/>
        <w:ind w:firstLine="480"/>
        <w:jc w:val="both"/>
        <w:rPr>
          <w:rFonts w:hint="default" w:ascii="Times New Roman" w:hAnsi="Times New Roman" w:cs="Times New Roman"/>
          <w:sz w:val="24"/>
          <w:szCs w:val="24"/>
          <w:lang w:val="en-US" w:eastAsia="zh-CN"/>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en-US" w:eastAsia="zh-CN"/>
        </w:rPr>
        <w:drawing>
          <wp:inline distT="0" distB="0" distL="114300" distR="114300">
            <wp:extent cx="1105535" cy="1762760"/>
            <wp:effectExtent l="0" t="0" r="6985" b="5080"/>
            <wp:docPr id="4" name="图片 4" descr="fa84c826805ea3f664ac53b74c8d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fa84c826805ea3f664ac53b74c8d1642"/>
                    <pic:cNvPicPr>
                      <a:picLocks noChangeAspect="1"/>
                    </pic:cNvPicPr>
                  </pic:nvPicPr>
                  <pic:blipFill>
                    <a:blip r:embed="rId5"/>
                    <a:stretch>
                      <a:fillRect/>
                    </a:stretch>
                  </pic:blipFill>
                  <pic:spPr>
                    <a:xfrm>
                      <a:off x="0" y="0"/>
                      <a:ext cx="1105535" cy="1762760"/>
                    </a:xfrm>
                    <a:prstGeom prst="rect">
                      <a:avLst/>
                    </a:prstGeom>
                  </pic:spPr>
                </pic:pic>
              </a:graphicData>
            </a:graphic>
          </wp:inline>
        </w:drawing>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68FFB">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E2C1834">
                          <w:pPr>
                            <w:pStyle w:val="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E2C1834">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M3NDNlZDViZDI5YzVlMTZhYzFmZTEwNDA1YjFhMGYifQ=="/>
  </w:docVars>
  <w:rsids>
    <w:rsidRoot w:val="00C9440C"/>
    <w:rsid w:val="001E1C73"/>
    <w:rsid w:val="004424B0"/>
    <w:rsid w:val="004D5A5F"/>
    <w:rsid w:val="0065175B"/>
    <w:rsid w:val="006B1B05"/>
    <w:rsid w:val="0070755D"/>
    <w:rsid w:val="0072152E"/>
    <w:rsid w:val="00955848"/>
    <w:rsid w:val="00C9440C"/>
    <w:rsid w:val="00DA320C"/>
    <w:rsid w:val="00EB3304"/>
    <w:rsid w:val="00EE3311"/>
    <w:rsid w:val="00F83601"/>
    <w:rsid w:val="04B3380C"/>
    <w:rsid w:val="066F6E3E"/>
    <w:rsid w:val="06D53125"/>
    <w:rsid w:val="0BEB221C"/>
    <w:rsid w:val="0C6822E1"/>
    <w:rsid w:val="11CE06EA"/>
    <w:rsid w:val="187C5B16"/>
    <w:rsid w:val="1C4922F9"/>
    <w:rsid w:val="1DCC7BD0"/>
    <w:rsid w:val="1ECB3353"/>
    <w:rsid w:val="26723A55"/>
    <w:rsid w:val="29233D8C"/>
    <w:rsid w:val="2BB86A0D"/>
    <w:rsid w:val="2D1E0AF2"/>
    <w:rsid w:val="306E7FE2"/>
    <w:rsid w:val="35824CD1"/>
    <w:rsid w:val="37C13833"/>
    <w:rsid w:val="3E4D2BB5"/>
    <w:rsid w:val="3E724C48"/>
    <w:rsid w:val="3F9B2476"/>
    <w:rsid w:val="40842F0A"/>
    <w:rsid w:val="43CE57AC"/>
    <w:rsid w:val="460A2D20"/>
    <w:rsid w:val="46706238"/>
    <w:rsid w:val="497314BA"/>
    <w:rsid w:val="4FDF015D"/>
    <w:rsid w:val="51F4532B"/>
    <w:rsid w:val="543F25F0"/>
    <w:rsid w:val="5D7C523D"/>
    <w:rsid w:val="5E8B659F"/>
    <w:rsid w:val="61692C57"/>
    <w:rsid w:val="6213404B"/>
    <w:rsid w:val="62AE5E99"/>
    <w:rsid w:val="63C62A07"/>
    <w:rsid w:val="65B0017A"/>
    <w:rsid w:val="66B06C22"/>
    <w:rsid w:val="68FC63FF"/>
    <w:rsid w:val="6FAD1286"/>
    <w:rsid w:val="71184E25"/>
    <w:rsid w:val="78E73A5B"/>
    <w:rsid w:val="79E031DD"/>
    <w:rsid w:val="7A010B4C"/>
    <w:rsid w:val="7BC35CA8"/>
    <w:rsid w:val="7BD22246"/>
    <w:rsid w:val="7D04018A"/>
    <w:rsid w:val="7EB805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宋体"/>
      <w:kern w:val="2"/>
      <w:sz w:val="28"/>
      <w:szCs w:val="28"/>
      <w:lang w:val="en-US" w:eastAsia="zh-CN" w:bidi="ar-SA"/>
    </w:rPr>
  </w:style>
  <w:style w:type="paragraph" w:styleId="2">
    <w:name w:val="heading 2"/>
    <w:basedOn w:val="1"/>
    <w:next w:val="1"/>
    <w:link w:val="16"/>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3">
    <w:name w:val="heading 3"/>
    <w:basedOn w:val="1"/>
    <w:next w:val="1"/>
    <w:link w:val="18"/>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19"/>
    <w:unhideWhenUsed/>
    <w:qFormat/>
    <w:uiPriority w:val="9"/>
    <w:pPr>
      <w:keepNext/>
      <w:keepLines/>
      <w:spacing w:before="280" w:after="290" w:line="376" w:lineRule="auto"/>
      <w:outlineLvl w:val="3"/>
    </w:pPr>
    <w:rPr>
      <w:rFonts w:asciiTheme="majorHAnsi" w:hAnsiTheme="majorHAnsi" w:cstheme="majorBidi"/>
      <w:b/>
      <w:bCs/>
    </w:rPr>
  </w:style>
  <w:style w:type="paragraph" w:styleId="5">
    <w:name w:val="heading 5"/>
    <w:basedOn w:val="1"/>
    <w:next w:val="1"/>
    <w:link w:val="20"/>
    <w:unhideWhenUsed/>
    <w:qFormat/>
    <w:uiPriority w:val="9"/>
    <w:pPr>
      <w:keepNext/>
      <w:keepLines/>
      <w:spacing w:before="280" w:after="290" w:line="376" w:lineRule="auto"/>
      <w:outlineLvl w:val="4"/>
    </w:pPr>
    <w:rPr>
      <w:b/>
      <w:bCs/>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semiHidden/>
    <w:unhideWhenUsed/>
    <w:qFormat/>
    <w:uiPriority w:val="99"/>
    <w:pPr>
      <w:jc w:val="left"/>
    </w:pPr>
  </w:style>
  <w:style w:type="paragraph" w:styleId="7">
    <w:name w:val="footer"/>
    <w:basedOn w:val="1"/>
    <w:link w:val="22"/>
    <w:unhideWhenUsed/>
    <w:qFormat/>
    <w:uiPriority w:val="99"/>
    <w:pPr>
      <w:tabs>
        <w:tab w:val="center" w:pos="4153"/>
        <w:tab w:val="right" w:pos="8306"/>
      </w:tabs>
      <w:snapToGrid w:val="0"/>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Autospacing="1" w:afterAutospacing="1"/>
      <w:jc w:val="left"/>
    </w:pPr>
    <w:rPr>
      <w:rFonts w:cs="Times New Roman"/>
      <w:kern w:val="0"/>
      <w:sz w:val="24"/>
    </w:rPr>
  </w:style>
  <w:style w:type="paragraph" w:styleId="10">
    <w:name w:val="Title"/>
    <w:basedOn w:val="1"/>
    <w:next w:val="1"/>
    <w:link w:val="17"/>
    <w:qFormat/>
    <w:uiPriority w:val="10"/>
    <w:pPr>
      <w:spacing w:before="240" w:after="60"/>
      <w:jc w:val="center"/>
      <w:outlineLvl w:val="0"/>
    </w:pPr>
    <w:rPr>
      <w:rFonts w:asciiTheme="majorHAnsi" w:hAnsiTheme="majorHAnsi" w:cstheme="majorBidi"/>
      <w:b/>
      <w:bCs/>
      <w:sz w:val="32"/>
      <w:szCs w:val="32"/>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Hyperlink"/>
    <w:basedOn w:val="13"/>
    <w:semiHidden/>
    <w:unhideWhenUsed/>
    <w:qFormat/>
    <w:uiPriority w:val="99"/>
    <w:rPr>
      <w:color w:val="0000FF"/>
      <w:u w:val="single"/>
    </w:rPr>
  </w:style>
  <w:style w:type="character" w:customStyle="1" w:styleId="16">
    <w:name w:val="标题 2 Char"/>
    <w:basedOn w:val="13"/>
    <w:link w:val="2"/>
    <w:qFormat/>
    <w:uiPriority w:val="9"/>
    <w:rPr>
      <w:rFonts w:eastAsia="宋体" w:asciiTheme="majorHAnsi" w:hAnsiTheme="majorHAnsi" w:cstheme="majorBidi"/>
      <w:b/>
      <w:bCs/>
      <w:sz w:val="32"/>
      <w:szCs w:val="32"/>
    </w:rPr>
  </w:style>
  <w:style w:type="character" w:customStyle="1" w:styleId="17">
    <w:name w:val="标题 Char"/>
    <w:basedOn w:val="13"/>
    <w:link w:val="10"/>
    <w:qFormat/>
    <w:uiPriority w:val="10"/>
    <w:rPr>
      <w:rFonts w:eastAsia="宋体" w:asciiTheme="majorHAnsi" w:hAnsiTheme="majorHAnsi" w:cstheme="majorBidi"/>
      <w:b/>
      <w:bCs/>
      <w:sz w:val="32"/>
      <w:szCs w:val="32"/>
    </w:rPr>
  </w:style>
  <w:style w:type="character" w:customStyle="1" w:styleId="18">
    <w:name w:val="标题 3 Char"/>
    <w:basedOn w:val="13"/>
    <w:link w:val="3"/>
    <w:qFormat/>
    <w:uiPriority w:val="9"/>
    <w:rPr>
      <w:rFonts w:eastAsia="宋体"/>
      <w:b/>
      <w:bCs/>
      <w:sz w:val="32"/>
      <w:szCs w:val="32"/>
    </w:rPr>
  </w:style>
  <w:style w:type="character" w:customStyle="1" w:styleId="19">
    <w:name w:val="标题 4 Char"/>
    <w:basedOn w:val="13"/>
    <w:link w:val="4"/>
    <w:qFormat/>
    <w:uiPriority w:val="9"/>
    <w:rPr>
      <w:rFonts w:eastAsia="宋体" w:asciiTheme="majorHAnsi" w:hAnsiTheme="majorHAnsi" w:cstheme="majorBidi"/>
      <w:b/>
      <w:bCs/>
      <w:sz w:val="28"/>
      <w:szCs w:val="28"/>
    </w:rPr>
  </w:style>
  <w:style w:type="character" w:customStyle="1" w:styleId="20">
    <w:name w:val="标题 5 Char"/>
    <w:basedOn w:val="13"/>
    <w:link w:val="5"/>
    <w:qFormat/>
    <w:uiPriority w:val="9"/>
    <w:rPr>
      <w:rFonts w:eastAsia="宋体"/>
      <w:b/>
      <w:bCs/>
      <w:sz w:val="28"/>
      <w:szCs w:val="28"/>
    </w:rPr>
  </w:style>
  <w:style w:type="character" w:customStyle="1" w:styleId="21">
    <w:name w:val="页眉 Char"/>
    <w:basedOn w:val="13"/>
    <w:link w:val="8"/>
    <w:qFormat/>
    <w:uiPriority w:val="99"/>
    <w:rPr>
      <w:rFonts w:ascii="宋体" w:hAnsi="宋体" w:eastAsia="宋体" w:cs="宋体"/>
      <w:sz w:val="18"/>
      <w:szCs w:val="18"/>
    </w:rPr>
  </w:style>
  <w:style w:type="character" w:customStyle="1" w:styleId="22">
    <w:name w:val="页脚 Char"/>
    <w:basedOn w:val="13"/>
    <w:link w:val="7"/>
    <w:qFormat/>
    <w:uiPriority w:val="99"/>
    <w:rPr>
      <w:rFonts w:ascii="宋体" w:hAnsi="宋体" w:eastAsia="宋体" w:cs="宋体"/>
      <w:sz w:val="18"/>
      <w:szCs w:val="18"/>
    </w:rPr>
  </w:style>
  <w:style w:type="table" w:customStyle="1" w:styleId="23">
    <w:name w:val="標準の表"/>
    <w:basedOn w:val="11"/>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1155</Words>
  <Characters>1259</Characters>
  <Lines>3</Lines>
  <Paragraphs>1</Paragraphs>
  <TotalTime>34</TotalTime>
  <ScaleCrop>false</ScaleCrop>
  <LinksUpToDate>false</LinksUpToDate>
  <CharactersWithSpaces>1287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2023-10-11T08:12:00Z</dcterms:created>
  <dc:creator>林宇健</dc:creator>
  <cp:lastModifiedBy>奕渠</cp:lastModifiedBy>
  <dcterms:modified xsi:type="dcterms:W3CDTF">2026-06-24T01:58:48Z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367A99D62BF14C3E8D79144359E08832_12</vt:lpwstr>
  </property>
  <property fmtid="{D5CDD505-2E9C-101B-9397-08002B2CF9AE}" pid="4" name="KSOTemplateDocerSaveRecord">
    <vt:lpwstr>eyJoZGlkIjoiNDY2YmRhYzMwODQxMGM2N2QyYWFiYTEyYTk3N2JhMDkiLCJ1c2VySWQiOiIzMjk3ODU0MzYifQ==</vt:lpwstr>
  </property>
</Properties>
</file>